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EA79" w14:textId="6A58014E" w:rsidR="00560315" w:rsidRPr="00F64477" w:rsidRDefault="00E87ADC" w:rsidP="00F64477">
      <w:pPr>
        <w:pStyle w:val="Title"/>
        <w:rPr>
          <w:sz w:val="52"/>
          <w:szCs w:val="52"/>
        </w:rPr>
      </w:pPr>
      <w:bookmarkStart w:id="0" w:name="_GoBack"/>
      <w:bookmarkEnd w:id="0"/>
      <w:r w:rsidRPr="00F64477">
        <w:rPr>
          <w:sz w:val="52"/>
          <w:szCs w:val="52"/>
        </w:rPr>
        <w:t>SDWIS Prime CY19R1 Re</w:t>
      </w:r>
      <w:r w:rsidR="00017D30" w:rsidRPr="00F64477">
        <w:rPr>
          <w:sz w:val="52"/>
          <w:szCs w:val="52"/>
        </w:rPr>
        <w:t xml:space="preserve">lease Reference Guide </w:t>
      </w:r>
    </w:p>
    <w:p w14:paraId="45ACEAEA" w14:textId="77777777" w:rsidR="00017D30" w:rsidRDefault="00017D30" w:rsidP="00E87ADC">
      <w:pPr>
        <w:pStyle w:val="Heading1"/>
      </w:pPr>
      <w:r>
        <w:t>Introduction</w:t>
      </w:r>
    </w:p>
    <w:p w14:paraId="64FA2E43" w14:textId="77777777" w:rsidR="00016605" w:rsidRDefault="00017D30" w:rsidP="00017D30">
      <w:pPr>
        <w:pStyle w:val="BodyText"/>
      </w:pPr>
      <w:r>
        <w:t>This document provides an overview of features and functionality included in the</w:t>
      </w:r>
      <w:r w:rsidR="002F28EE">
        <w:t xml:space="preserve"> January 2019 Release </w:t>
      </w:r>
      <w:r w:rsidR="004D119E">
        <w:t>(</w:t>
      </w:r>
      <w:r w:rsidR="002F28EE">
        <w:t>CY19R1</w:t>
      </w:r>
      <w:r w:rsidR="004D119E">
        <w:t>)</w:t>
      </w:r>
      <w:r w:rsidR="003952FD">
        <w:t xml:space="preserve"> of the Safe Drinking Water Information System (SDWIS) Prime application</w:t>
      </w:r>
      <w:r>
        <w:t>. It describes new features added to different modules of the application,</w:t>
      </w:r>
      <w:r w:rsidR="004D119E">
        <w:t xml:space="preserve"> new</w:t>
      </w:r>
      <w:r>
        <w:t xml:space="preserve"> </w:t>
      </w:r>
      <w:r w:rsidR="004D119E">
        <w:t xml:space="preserve">Business Rules Engine (BRE) integration capabilities, </w:t>
      </w:r>
      <w:r>
        <w:t xml:space="preserve">and user interface </w:t>
      </w:r>
      <w:r w:rsidR="003952FD">
        <w:t xml:space="preserve">(UI) </w:t>
      </w:r>
      <w:r>
        <w:t>enhancements.</w:t>
      </w:r>
      <w:r w:rsidR="00016605">
        <w:t xml:space="preserve"> </w:t>
      </w:r>
    </w:p>
    <w:p w14:paraId="4A3FEFAC" w14:textId="5D6A4677" w:rsidR="00367ECC" w:rsidRDefault="00367ECC" w:rsidP="00017D30">
      <w:pPr>
        <w:pStyle w:val="BodyText"/>
      </w:pPr>
      <w:r w:rsidRPr="00367ECC">
        <w:t xml:space="preserve">The Compliance Monitoring Data Portal (CMDP) Release Notes are published separately. The CY19R1 CMDP Release Notes will be accessible via the CMDP Help Center:  </w:t>
      </w:r>
      <w:hyperlink r:id="rId8" w:history="1">
        <w:r w:rsidRPr="00B84CE5">
          <w:rPr>
            <w:rStyle w:val="Hyperlink"/>
          </w:rPr>
          <w:t>https://cmdp.zendesk.com/hc/</w:t>
        </w:r>
      </w:hyperlink>
      <w:r>
        <w:t>.</w:t>
      </w:r>
      <w:r w:rsidRPr="00367ECC">
        <w:t xml:space="preserve">  </w:t>
      </w:r>
    </w:p>
    <w:p w14:paraId="0BEB319A" w14:textId="20961624" w:rsidR="00017D30" w:rsidRDefault="00017D30" w:rsidP="00E87ADC">
      <w:pPr>
        <w:pStyle w:val="Heading1"/>
      </w:pPr>
      <w:r>
        <w:t>New Features</w:t>
      </w:r>
    </w:p>
    <w:p w14:paraId="2980D7BB" w14:textId="0A04DF9A" w:rsidR="00420B90" w:rsidRDefault="00E75913" w:rsidP="00E75913">
      <w:pPr>
        <w:pStyle w:val="Bullet1"/>
      </w:pPr>
      <w:r>
        <w:t>T</w:t>
      </w:r>
      <w:r w:rsidR="00420B90">
        <w:t xml:space="preserve">he </w:t>
      </w:r>
      <w:r>
        <w:t>ability</w:t>
      </w:r>
      <w:r w:rsidR="00420B90">
        <w:t xml:space="preserve"> </w:t>
      </w:r>
      <w:r>
        <w:t xml:space="preserve">for users </w:t>
      </w:r>
      <w:r w:rsidR="00420B90">
        <w:t xml:space="preserve">to see </w:t>
      </w:r>
      <w:r w:rsidR="00400578">
        <w:t xml:space="preserve">an </w:t>
      </w:r>
      <w:r w:rsidR="00420B90">
        <w:t>originating sample</w:t>
      </w:r>
      <w:r>
        <w:t xml:space="preserve"> </w:t>
      </w:r>
      <w:r w:rsidR="00420B90">
        <w:t xml:space="preserve">that </w:t>
      </w:r>
      <w:r>
        <w:t xml:space="preserve">triggered the creation of </w:t>
      </w:r>
      <w:r w:rsidR="00B01C7A">
        <w:t>a candidate Monitoring Schedule</w:t>
      </w:r>
      <w:r w:rsidR="008C7882">
        <w:t>.</w:t>
      </w:r>
    </w:p>
    <w:p w14:paraId="7802D0A3" w14:textId="55247069" w:rsidR="008C7882" w:rsidRDefault="008C7882" w:rsidP="008C7882">
      <w:pPr>
        <w:pStyle w:val="Bullet1"/>
      </w:pPr>
      <w:r>
        <w:t>The ability to view the originating sample result</w:t>
      </w:r>
      <w:r w:rsidRPr="378D3834">
        <w:t xml:space="preserve"> </w:t>
      </w:r>
      <w:r>
        <w:t>when viewing repeat or triggered monitoring schedules generated by the BRE.</w:t>
      </w:r>
    </w:p>
    <w:p w14:paraId="762A7F2E" w14:textId="3E704948" w:rsidR="000A3D11" w:rsidRDefault="000A3D11" w:rsidP="004711B2">
      <w:pPr>
        <w:pStyle w:val="Bullet1"/>
      </w:pPr>
      <w:r>
        <w:t>System Administration module</w:t>
      </w:r>
      <w:r w:rsidR="00E75913">
        <w:t xml:space="preserve"> </w:t>
      </w:r>
      <w:r>
        <w:t xml:space="preserve">to allow </w:t>
      </w:r>
      <w:r w:rsidR="00E0454A">
        <w:t xml:space="preserve">Primacy Agency System Administrators to </w:t>
      </w:r>
      <w:r w:rsidR="00E75913">
        <w:t>add</w:t>
      </w:r>
      <w:r w:rsidR="00E0454A">
        <w:t xml:space="preserve"> </w:t>
      </w:r>
      <w:r>
        <w:t xml:space="preserve">their own values in existing picklists. In this release, Primacy Agency System Administrators can </w:t>
      </w:r>
      <w:r w:rsidR="00E75913">
        <w:t>add</w:t>
      </w:r>
      <w:r>
        <w:t xml:space="preserve"> the following picklist values through a template and upload process:</w:t>
      </w:r>
    </w:p>
    <w:p w14:paraId="61B737DA" w14:textId="7105B30F" w:rsidR="000A3D11" w:rsidRDefault="000A3D11" w:rsidP="000A3D11">
      <w:pPr>
        <w:pStyle w:val="Bullet1"/>
        <w:numPr>
          <w:ilvl w:val="1"/>
          <w:numId w:val="18"/>
        </w:numPr>
      </w:pPr>
      <w:r>
        <w:t>Picklist values for Deficiency Types so that users can select those values when maintaining Deficiencies in Site Visits. .</w:t>
      </w:r>
    </w:p>
    <w:p w14:paraId="439CB241" w14:textId="2F68021E" w:rsidR="00B57807" w:rsidRDefault="000A3D11" w:rsidP="000A3D11">
      <w:pPr>
        <w:pStyle w:val="Bullet1"/>
        <w:numPr>
          <w:ilvl w:val="1"/>
          <w:numId w:val="18"/>
        </w:numPr>
      </w:pPr>
      <w:r>
        <w:t xml:space="preserve">Picklist values for </w:t>
      </w:r>
      <w:r w:rsidR="0015412A" w:rsidRPr="00544535">
        <w:t xml:space="preserve">analyte groups </w:t>
      </w:r>
      <w:r>
        <w:t xml:space="preserve">so that </w:t>
      </w:r>
      <w:r w:rsidR="00E75913">
        <w:t>u</w:t>
      </w:r>
      <w:r>
        <w:t xml:space="preserve">sers </w:t>
      </w:r>
      <w:r w:rsidR="0015412A" w:rsidRPr="00544535">
        <w:t xml:space="preserve">can </w:t>
      </w:r>
      <w:r>
        <w:t xml:space="preserve">select those values </w:t>
      </w:r>
      <w:r w:rsidR="0015412A" w:rsidRPr="00544535">
        <w:t xml:space="preserve">when </w:t>
      </w:r>
      <w:r>
        <w:t xml:space="preserve">entering </w:t>
      </w:r>
      <w:r w:rsidR="0015412A" w:rsidRPr="00544535">
        <w:t>sample</w:t>
      </w:r>
      <w:r w:rsidR="51D665E6" w:rsidRPr="00544535">
        <w:t xml:space="preserve"> </w:t>
      </w:r>
      <w:r w:rsidR="2CB2AE26" w:rsidRPr="00544535">
        <w:t>result</w:t>
      </w:r>
      <w:r w:rsidR="0015412A" w:rsidRPr="00544535">
        <w:t>s.</w:t>
      </w:r>
      <w:r w:rsidR="00B63831">
        <w:t xml:space="preserve"> </w:t>
      </w:r>
      <w:r w:rsidRPr="000A3D11">
        <w:t xml:space="preserve">Note: the functionality to add one analyte to a group was completed; however, this functionality didn’t meet the expected outcomes in test </w:t>
      </w:r>
      <w:r>
        <w:t>case 38a</w:t>
      </w:r>
      <w:r w:rsidR="00E75913">
        <w:t xml:space="preserve">. </w:t>
      </w:r>
      <w:r w:rsidR="00B57807">
        <w:t>See Appendix B</w:t>
      </w:r>
      <w:r w:rsidR="00897FBE">
        <w:t xml:space="preserve"> Known Issues</w:t>
      </w:r>
      <w:r w:rsidR="00B57807">
        <w:t xml:space="preserve">, </w:t>
      </w:r>
      <w:r w:rsidR="00B57807" w:rsidRPr="009937A9">
        <w:t>SP-5788</w:t>
      </w:r>
      <w:r w:rsidR="00B57807">
        <w:t>.</w:t>
      </w:r>
    </w:p>
    <w:p w14:paraId="177A3177" w14:textId="50806F3C" w:rsidR="0054144F" w:rsidRDefault="00E75913" w:rsidP="0015412A">
      <w:pPr>
        <w:pStyle w:val="Bullet1"/>
      </w:pPr>
      <w:r>
        <w:t xml:space="preserve">The ability for users to </w:t>
      </w:r>
      <w:r w:rsidR="0054144F">
        <w:t xml:space="preserve">run monitoring and reporting (M/R) compliance for water systems in a specific </w:t>
      </w:r>
      <w:r w:rsidR="00442C44">
        <w:t>Primacy Agency</w:t>
      </w:r>
      <w:r w:rsidR="0054144F">
        <w:t xml:space="preserve"> and for a specific Rule.</w:t>
      </w:r>
    </w:p>
    <w:p w14:paraId="74D2B140" w14:textId="547862BD" w:rsidR="00017D30" w:rsidRDefault="00017D30" w:rsidP="00E87ADC">
      <w:pPr>
        <w:pStyle w:val="Heading1"/>
      </w:pPr>
      <w:r>
        <w:t>BRE Integration</w:t>
      </w:r>
    </w:p>
    <w:p w14:paraId="51E6D5D7" w14:textId="7F5012DA" w:rsidR="00017D30" w:rsidRDefault="00AF19A4" w:rsidP="00E87ADC">
      <w:pPr>
        <w:pStyle w:val="Bullet1"/>
        <w:numPr>
          <w:ilvl w:val="0"/>
          <w:numId w:val="0"/>
        </w:numPr>
      </w:pPr>
      <w:r>
        <w:t>T</w:t>
      </w:r>
      <w:r w:rsidR="00584E3F">
        <w:t xml:space="preserve">est cases </w:t>
      </w:r>
      <w:r w:rsidR="0054144F">
        <w:t xml:space="preserve">are </w:t>
      </w:r>
      <w:r w:rsidR="00584E3F">
        <w:t xml:space="preserve">included to </w:t>
      </w:r>
      <w:r w:rsidR="0054144F">
        <w:t>demonstrate</w:t>
      </w:r>
      <w:r>
        <w:t xml:space="preserve"> additional</w:t>
      </w:r>
      <w:r w:rsidR="00584E3F">
        <w:t xml:space="preserve"> </w:t>
      </w:r>
      <w:r w:rsidR="00017D30">
        <w:t xml:space="preserve">BRE </w:t>
      </w:r>
      <w:r w:rsidR="00584E3F">
        <w:t>capabilities</w:t>
      </w:r>
      <w:r w:rsidR="006F0E3C">
        <w:t xml:space="preserve"> </w:t>
      </w:r>
      <w:r w:rsidR="00017D30">
        <w:t xml:space="preserve">for the following "Rules" </w:t>
      </w:r>
      <w:r w:rsidR="0054144F">
        <w:t>(</w:t>
      </w:r>
      <w:r w:rsidR="00017D30">
        <w:t xml:space="preserve">based on the National Primary Drinking Water Regulations </w:t>
      </w:r>
      <w:r w:rsidR="0054144F">
        <w:t xml:space="preserve">- </w:t>
      </w:r>
      <w:r w:rsidR="00017D30">
        <w:t>NPDWR)</w:t>
      </w:r>
      <w:r w:rsidR="0054144F">
        <w:t>. See Appendix A for more details</w:t>
      </w:r>
      <w:r w:rsidR="00B22D59">
        <w:t>:</w:t>
      </w:r>
    </w:p>
    <w:p w14:paraId="1FA68109" w14:textId="41692EAC" w:rsidR="00017D30" w:rsidRDefault="000476AD" w:rsidP="000476AD">
      <w:pPr>
        <w:pStyle w:val="NumberedList"/>
      </w:pPr>
      <w:r w:rsidRPr="000476AD">
        <w:t xml:space="preserve">Revised Total Coliform Rule </w:t>
      </w:r>
      <w:r>
        <w:t>(</w:t>
      </w:r>
      <w:r w:rsidR="0015412A">
        <w:t>RTCR</w:t>
      </w:r>
      <w:r>
        <w:t>)</w:t>
      </w:r>
      <w:r w:rsidR="00017D30">
        <w:t>. Major outcomes generated by the BRE:</w:t>
      </w:r>
    </w:p>
    <w:p w14:paraId="51B0E746" w14:textId="0B5371B5" w:rsidR="00017D30" w:rsidRDefault="0015412A" w:rsidP="00544535">
      <w:pPr>
        <w:pStyle w:val="NumberedList"/>
        <w:numPr>
          <w:ilvl w:val="1"/>
          <w:numId w:val="20"/>
        </w:numPr>
      </w:pPr>
      <w:r>
        <w:t xml:space="preserve">Candidate </w:t>
      </w:r>
      <w:r w:rsidR="470C9E94">
        <w:t xml:space="preserve">repeat </w:t>
      </w:r>
      <w:r>
        <w:t>monitoring schedule created</w:t>
      </w:r>
    </w:p>
    <w:p w14:paraId="7247508D" w14:textId="77777777" w:rsidR="0015412A" w:rsidRDefault="0015412A" w:rsidP="00017D30">
      <w:pPr>
        <w:pStyle w:val="NumberedList"/>
        <w:numPr>
          <w:ilvl w:val="1"/>
          <w:numId w:val="20"/>
        </w:numPr>
      </w:pPr>
      <w:r>
        <w:t>Candidate E. Coli violation created</w:t>
      </w:r>
    </w:p>
    <w:p w14:paraId="0AA53A54" w14:textId="0E6451EC" w:rsidR="00017D30" w:rsidRDefault="0015412A" w:rsidP="00017D30">
      <w:pPr>
        <w:pStyle w:val="NumberedList"/>
        <w:numPr>
          <w:ilvl w:val="1"/>
          <w:numId w:val="20"/>
        </w:numPr>
      </w:pPr>
      <w:r>
        <w:lastRenderedPageBreak/>
        <w:t>Candidate 3A Minor monitoring violations created</w:t>
      </w:r>
    </w:p>
    <w:p w14:paraId="6A4EDF67" w14:textId="44D9842A" w:rsidR="0015412A" w:rsidRDefault="00E713F3" w:rsidP="378D3834">
      <w:pPr>
        <w:pStyle w:val="NumberedList"/>
        <w:numPr>
          <w:ilvl w:val="1"/>
          <w:numId w:val="20"/>
        </w:numPr>
      </w:pPr>
      <w:r>
        <w:t xml:space="preserve">Linking the </w:t>
      </w:r>
      <w:r w:rsidR="0015412A">
        <w:t xml:space="preserve">originating sample </w:t>
      </w:r>
      <w:r w:rsidR="27CCBD6D">
        <w:t>result</w:t>
      </w:r>
      <w:r w:rsidR="65D5741E" w:rsidRPr="378D3834">
        <w:t xml:space="preserve"> </w:t>
      </w:r>
      <w:r>
        <w:t>to candidate r</w:t>
      </w:r>
      <w:r w:rsidR="0015412A">
        <w:t>epeat</w:t>
      </w:r>
      <w:r>
        <w:t xml:space="preserve"> and </w:t>
      </w:r>
      <w:r w:rsidR="27CCBD6D">
        <w:t>t</w:t>
      </w:r>
      <w:r w:rsidR="0015412A">
        <w:t xml:space="preserve">riggered monitoring schedules </w:t>
      </w:r>
      <w:r>
        <w:t xml:space="preserve">when </w:t>
      </w:r>
      <w:r w:rsidR="0015412A">
        <w:t>generated by the BRE</w:t>
      </w:r>
      <w:r>
        <w:t>.</w:t>
      </w:r>
    </w:p>
    <w:p w14:paraId="54D5ADA3" w14:textId="60C58FA8" w:rsidR="00017D30" w:rsidRDefault="000476AD" w:rsidP="00AF19A4">
      <w:pPr>
        <w:pStyle w:val="NumberedList"/>
        <w:keepNext/>
      </w:pPr>
      <w:r w:rsidRPr="000476AD">
        <w:t xml:space="preserve">Disinfection Byproducts Precursors </w:t>
      </w:r>
      <w:r>
        <w:t>(</w:t>
      </w:r>
      <w:r w:rsidR="0015412A">
        <w:t>DDBP</w:t>
      </w:r>
      <w:r>
        <w:t>)</w:t>
      </w:r>
      <w:r w:rsidR="0015412A">
        <w:t>. Major outcomes generated by the BRE</w:t>
      </w:r>
      <w:r w:rsidR="001951D7">
        <w:t>:</w:t>
      </w:r>
    </w:p>
    <w:p w14:paraId="7978341D" w14:textId="784B319A" w:rsidR="0015412A" w:rsidRDefault="0015412A" w:rsidP="00AF19A4">
      <w:pPr>
        <w:pStyle w:val="NumberedList"/>
        <w:keepNext/>
        <w:numPr>
          <w:ilvl w:val="1"/>
          <w:numId w:val="20"/>
        </w:numPr>
      </w:pPr>
      <w:r>
        <w:t xml:space="preserve">Minor candidate </w:t>
      </w:r>
      <w:r w:rsidR="378D3834">
        <w:t xml:space="preserve">monitoring </w:t>
      </w:r>
      <w:r>
        <w:t xml:space="preserve">violation </w:t>
      </w:r>
      <w:r w:rsidR="378D3834">
        <w:t xml:space="preserve">(27) </w:t>
      </w:r>
      <w:r>
        <w:t xml:space="preserve">for </w:t>
      </w:r>
      <w:r w:rsidR="000476AD" w:rsidRPr="000476AD">
        <w:t xml:space="preserve">Total Trihalomethanes </w:t>
      </w:r>
      <w:r w:rsidR="000476AD">
        <w:t>(</w:t>
      </w:r>
      <w:r>
        <w:t>TTHM</w:t>
      </w:r>
      <w:r w:rsidR="000476AD">
        <w:t>)</w:t>
      </w:r>
      <w:r>
        <w:t xml:space="preserve"> and </w:t>
      </w:r>
      <w:r w:rsidR="000476AD" w:rsidRPr="000476AD">
        <w:t>Haloacetic Acids (five) (</w:t>
      </w:r>
      <w:r>
        <w:t>HAA5</w:t>
      </w:r>
      <w:r w:rsidR="000476AD">
        <w:t>)</w:t>
      </w:r>
    </w:p>
    <w:p w14:paraId="1FC83AD3" w14:textId="05980E22" w:rsidR="0015412A" w:rsidRDefault="0015412A" w:rsidP="0015412A">
      <w:pPr>
        <w:pStyle w:val="NumberedList"/>
        <w:numPr>
          <w:ilvl w:val="1"/>
          <w:numId w:val="20"/>
        </w:numPr>
      </w:pPr>
      <w:r>
        <w:t>Major candidate monitoring violation (27) for TTHM and HAA5 for failure to sample a</w:t>
      </w:r>
      <w:r w:rsidR="378D3834">
        <w:t>t</w:t>
      </w:r>
      <w:r>
        <w:t xml:space="preserve"> the appropriate sampling point</w:t>
      </w:r>
    </w:p>
    <w:p w14:paraId="1A72B6FA" w14:textId="75013E6F" w:rsidR="0015412A" w:rsidRDefault="0015412A" w:rsidP="0015412A">
      <w:pPr>
        <w:pStyle w:val="NumberedList"/>
        <w:numPr>
          <w:ilvl w:val="1"/>
          <w:numId w:val="20"/>
        </w:numPr>
      </w:pPr>
      <w:r>
        <w:t>Major candidate monitoring violation (27) for TTHM and HAA5 for failure to sample every 90 days</w:t>
      </w:r>
    </w:p>
    <w:p w14:paraId="0F3E0E56" w14:textId="54F1054C" w:rsidR="00017D30" w:rsidRDefault="000476AD" w:rsidP="000476AD">
      <w:pPr>
        <w:pStyle w:val="NumberedList"/>
      </w:pPr>
      <w:r w:rsidRPr="000476AD">
        <w:t>Ground Water Rule (</w:t>
      </w:r>
      <w:r w:rsidR="0015412A">
        <w:t>GWR</w:t>
      </w:r>
      <w:r w:rsidR="009A1599">
        <w:t>)</w:t>
      </w:r>
      <w:r w:rsidR="0015412A">
        <w:t>. Major outcomes generated b</w:t>
      </w:r>
      <w:r w:rsidR="378D3834">
        <w:t>y</w:t>
      </w:r>
      <w:r w:rsidR="0015412A">
        <w:t xml:space="preserve"> the BRE</w:t>
      </w:r>
      <w:r w:rsidR="00017D30">
        <w:t>:</w:t>
      </w:r>
    </w:p>
    <w:p w14:paraId="0CA2488A" w14:textId="2B393A60" w:rsidR="00210C37" w:rsidRDefault="00210C37" w:rsidP="0015412A">
      <w:pPr>
        <w:pStyle w:val="NumberedList"/>
        <w:numPr>
          <w:ilvl w:val="1"/>
          <w:numId w:val="20"/>
        </w:numPr>
      </w:pPr>
      <w:r w:rsidRPr="00544535">
        <w:t>Ground Water Rule (GWR)</w:t>
      </w:r>
      <w:r>
        <w:t xml:space="preserve"> triggered monitoring schedules created</w:t>
      </w:r>
    </w:p>
    <w:p w14:paraId="7CDA9DA9" w14:textId="0E22BB4B" w:rsidR="00017D30" w:rsidRDefault="0015412A" w:rsidP="0015412A">
      <w:pPr>
        <w:pStyle w:val="NumberedList"/>
        <w:numPr>
          <w:ilvl w:val="1"/>
          <w:numId w:val="20"/>
        </w:numPr>
      </w:pPr>
      <w:r>
        <w:t>Candidate violation (45) for failure to address a deficiency</w:t>
      </w:r>
    </w:p>
    <w:p w14:paraId="26DCD9A4" w14:textId="0532E5B0" w:rsidR="00210C37" w:rsidRDefault="00210C37" w:rsidP="00E87ADC">
      <w:pPr>
        <w:pStyle w:val="NumberedList"/>
      </w:pPr>
      <w:r>
        <w:t>Nitrate Rule. Majory outcomes generated by the BRE:</w:t>
      </w:r>
    </w:p>
    <w:p w14:paraId="0E2552A5" w14:textId="71941F46" w:rsidR="00210C37" w:rsidRDefault="00210C37">
      <w:pPr>
        <w:pStyle w:val="NumberedList"/>
        <w:numPr>
          <w:ilvl w:val="1"/>
          <w:numId w:val="20"/>
        </w:numPr>
      </w:pPr>
      <w:r>
        <w:t>Create candidate moni</w:t>
      </w:r>
      <w:r w:rsidR="00AF19A4">
        <w:t>toring schedules based on inventory data.</w:t>
      </w:r>
    </w:p>
    <w:p w14:paraId="501931B0" w14:textId="619F9D3D" w:rsidR="00AF19A4" w:rsidRDefault="00AF19A4">
      <w:pPr>
        <w:pStyle w:val="NumberedList"/>
        <w:numPr>
          <w:ilvl w:val="1"/>
          <w:numId w:val="20"/>
        </w:numPr>
      </w:pPr>
      <w:r>
        <w:t>Create candidate monitoring violations.</w:t>
      </w:r>
    </w:p>
    <w:p w14:paraId="06991120" w14:textId="23FF211A" w:rsidR="00210C37" w:rsidRDefault="00210C37">
      <w:pPr>
        <w:pStyle w:val="NumberedList"/>
        <w:numPr>
          <w:ilvl w:val="1"/>
          <w:numId w:val="20"/>
        </w:numPr>
      </w:pPr>
      <w:r>
        <w:t>Create a candidate confirmation monitoring schedule for nitrate and associate the originating routine nitrate sample result to the candi</w:t>
      </w:r>
      <w:r w:rsidR="008C43A0">
        <w:t>d</w:t>
      </w:r>
      <w:r>
        <w:t>ate schedule.</w:t>
      </w:r>
    </w:p>
    <w:p w14:paraId="5D50C688" w14:textId="01E3484F" w:rsidR="00AF19A4" w:rsidRDefault="00AF19A4" w:rsidP="00AF19A4">
      <w:pPr>
        <w:pStyle w:val="NumberedList"/>
      </w:pPr>
      <w:r>
        <w:t>Inorganic Chemicals (IOC) Rule. Majory outcomes generated by the BRE:</w:t>
      </w:r>
    </w:p>
    <w:p w14:paraId="7EDD3C80" w14:textId="77777777" w:rsidR="00AF19A4" w:rsidRDefault="00AF19A4" w:rsidP="00AF19A4">
      <w:pPr>
        <w:pStyle w:val="NumberedList"/>
        <w:numPr>
          <w:ilvl w:val="1"/>
          <w:numId w:val="20"/>
        </w:numPr>
      </w:pPr>
      <w:r>
        <w:t>Create candidate monitoring schedules based on inventory data.</w:t>
      </w:r>
    </w:p>
    <w:p w14:paraId="74A9DE8B" w14:textId="0866E653" w:rsidR="00AF19A4" w:rsidRDefault="00AF19A4">
      <w:pPr>
        <w:pStyle w:val="NumberedList"/>
        <w:numPr>
          <w:ilvl w:val="1"/>
          <w:numId w:val="20"/>
        </w:numPr>
      </w:pPr>
      <w:r>
        <w:t>Create candidate monitoring violations.</w:t>
      </w:r>
    </w:p>
    <w:p w14:paraId="6092C388" w14:textId="2CCEBEC3" w:rsidR="00133809" w:rsidRDefault="00133809" w:rsidP="00E87ADC">
      <w:pPr>
        <w:pStyle w:val="Bullet1"/>
        <w:numPr>
          <w:ilvl w:val="0"/>
          <w:numId w:val="0"/>
        </w:numPr>
      </w:pPr>
      <w:r>
        <w:t xml:space="preserve">See Appendix A for more details on the Test Cases </w:t>
      </w:r>
      <w:r w:rsidR="001951D7">
        <w:t xml:space="preserve">used to develop </w:t>
      </w:r>
      <w:r>
        <w:t>this release</w:t>
      </w:r>
    </w:p>
    <w:p w14:paraId="79641B29" w14:textId="3B57BAD0" w:rsidR="00133809" w:rsidRDefault="00133809" w:rsidP="00E87ADC">
      <w:pPr>
        <w:pStyle w:val="Heading1"/>
      </w:pPr>
      <w:r>
        <w:t>Enhancements</w:t>
      </w:r>
    </w:p>
    <w:p w14:paraId="1072DD2C" w14:textId="49E88611" w:rsidR="00133809" w:rsidRDefault="001951D7" w:rsidP="00A9207B">
      <w:pPr>
        <w:pStyle w:val="Bullet1"/>
      </w:pPr>
      <w:r>
        <w:t xml:space="preserve">The </w:t>
      </w:r>
      <w:r w:rsidR="00133809">
        <w:t>Samples module has been enhanced to make searching, creating</w:t>
      </w:r>
      <w:r>
        <w:t xml:space="preserve">, </w:t>
      </w:r>
      <w:r w:rsidR="00133809">
        <w:t>and modifying samples faster and easier</w:t>
      </w:r>
    </w:p>
    <w:p w14:paraId="5CF1EC8E" w14:textId="23B4AE6D" w:rsidR="0015412A" w:rsidRDefault="0015412A" w:rsidP="00A9207B">
      <w:pPr>
        <w:pStyle w:val="Bullet1"/>
      </w:pPr>
      <w:r>
        <w:t>Features</w:t>
      </w:r>
      <w:r w:rsidR="001951D7">
        <w:t xml:space="preserve"> were</w:t>
      </w:r>
      <w:r>
        <w:t xml:space="preserve"> added to </w:t>
      </w:r>
      <w:r w:rsidR="0012309E">
        <w:t>the Sample R</w:t>
      </w:r>
      <w:r>
        <w:t xml:space="preserve">esults </w:t>
      </w:r>
      <w:r w:rsidR="00FA74B8">
        <w:t xml:space="preserve">grids </w:t>
      </w:r>
      <w:r>
        <w:t xml:space="preserve">to </w:t>
      </w:r>
      <w:r w:rsidR="001951D7">
        <w:t xml:space="preserve">enable </w:t>
      </w:r>
      <w:r>
        <w:t>filtering capabilit</w:t>
      </w:r>
      <w:r w:rsidR="001951D7">
        <w:t>ies</w:t>
      </w:r>
    </w:p>
    <w:p w14:paraId="416D2A26" w14:textId="77777777" w:rsidR="00A9207B" w:rsidRDefault="00A9207B" w:rsidP="00A9207B">
      <w:pPr>
        <w:sectPr w:rsidR="00A9207B" w:rsidSect="00AF19A4">
          <w:headerReference w:type="default" r:id="rId9"/>
          <w:footerReference w:type="default" r:id="rId10"/>
          <w:pgSz w:w="12240" w:h="15840"/>
          <w:pgMar w:top="1440" w:right="1440" w:bottom="1440" w:left="1440" w:header="720" w:footer="432" w:gutter="0"/>
          <w:pgNumType w:start="1"/>
          <w:cols w:space="720"/>
          <w:docGrid w:linePitch="360"/>
        </w:sectPr>
      </w:pPr>
    </w:p>
    <w:p w14:paraId="13F6C255" w14:textId="77777777" w:rsidR="00A9207B" w:rsidRDefault="00A9207B" w:rsidP="00D23000">
      <w:pPr>
        <w:pStyle w:val="Heading1"/>
      </w:pPr>
      <w:r>
        <w:lastRenderedPageBreak/>
        <w:t>Appendix A: BRE Test Cases Outline</w:t>
      </w:r>
    </w:p>
    <w:p w14:paraId="7C89F823" w14:textId="2F37329C" w:rsidR="00A9207B" w:rsidRDefault="00A9207B" w:rsidP="00A9207B">
      <w:pPr>
        <w:pStyle w:val="BodyText"/>
      </w:pPr>
      <w:r>
        <w:t xml:space="preserve">These test cases are listed by </w:t>
      </w:r>
      <w:r w:rsidR="001951D7">
        <w:t xml:space="preserve">regulation </w:t>
      </w:r>
      <w:r w:rsidR="0055653C">
        <w:t xml:space="preserve">from the </w:t>
      </w:r>
      <w:r>
        <w:t xml:space="preserve">NPDWR. The test cases demonstrate the Rule Applicability, Sample Result Evaluation, </w:t>
      </w:r>
      <w:r w:rsidR="0055653C">
        <w:t>Monitoring and Reporting (</w:t>
      </w:r>
      <w:r>
        <w:t>M&amp;R</w:t>
      </w:r>
      <w:r w:rsidR="0055653C">
        <w:t>)</w:t>
      </w:r>
      <w:r>
        <w:t xml:space="preserve"> Compliance, Activity Evaluation, and Monitoring Schedule Determination; see the table below for a summary of the expected outcomes. The test cases do not demonstrate Return to Compliance Determination. </w:t>
      </w:r>
    </w:p>
    <w:tbl>
      <w:tblPr>
        <w:tblStyle w:val="TableGrid"/>
        <w:tblW w:w="5000" w:type="pct"/>
        <w:jc w:val="center"/>
        <w:tblLook w:val="0600" w:firstRow="0" w:lastRow="0" w:firstColumn="0" w:lastColumn="0" w:noHBand="1" w:noVBand="1"/>
      </w:tblPr>
      <w:tblGrid>
        <w:gridCol w:w="794"/>
        <w:gridCol w:w="495"/>
        <w:gridCol w:w="1462"/>
        <w:gridCol w:w="1755"/>
        <w:gridCol w:w="4096"/>
        <w:gridCol w:w="2188"/>
      </w:tblGrid>
      <w:tr w:rsidR="00574F43" w:rsidRPr="004D7FFE" w14:paraId="2D27A64B" w14:textId="002A1FDE" w:rsidTr="00574F43">
        <w:trPr>
          <w:cantSplit/>
          <w:tblHeader/>
          <w:jc w:val="center"/>
        </w:trPr>
        <w:tc>
          <w:tcPr>
            <w:tcW w:w="368" w:type="pct"/>
            <w:shd w:val="clear" w:color="auto" w:fill="355777" w:themeFill="text2"/>
          </w:tcPr>
          <w:p w14:paraId="54015EEF" w14:textId="77777777" w:rsidR="00574F43" w:rsidRPr="004D7FFE" w:rsidRDefault="00574F43" w:rsidP="00CC49FF">
            <w:pPr>
              <w:pStyle w:val="TableHeader"/>
            </w:pPr>
            <w:r>
              <w:t>Count</w:t>
            </w:r>
          </w:p>
        </w:tc>
        <w:tc>
          <w:tcPr>
            <w:tcW w:w="229" w:type="pct"/>
            <w:shd w:val="clear" w:color="auto" w:fill="355777" w:themeFill="text2"/>
          </w:tcPr>
          <w:p w14:paraId="53A3D95B" w14:textId="77777777" w:rsidR="00574F43" w:rsidRPr="004D7FFE" w:rsidRDefault="00574F43" w:rsidP="00CC49FF">
            <w:pPr>
              <w:pStyle w:val="TableHeader"/>
            </w:pPr>
            <w:r w:rsidRPr="004D7FFE">
              <w:t>ID</w:t>
            </w:r>
          </w:p>
        </w:tc>
        <w:tc>
          <w:tcPr>
            <w:tcW w:w="600" w:type="pct"/>
            <w:shd w:val="clear" w:color="auto" w:fill="355777" w:themeFill="text2"/>
          </w:tcPr>
          <w:p w14:paraId="2E9024D2" w14:textId="77777777" w:rsidR="00137CBF" w:rsidRDefault="00574F43" w:rsidP="00CC49FF">
            <w:pPr>
              <w:pStyle w:val="TableHeader"/>
            </w:pPr>
            <w:r w:rsidRPr="004D7FFE">
              <w:t>Rule</w:t>
            </w:r>
            <w:r w:rsidR="00137CBF">
              <w:t>/</w:t>
            </w:r>
          </w:p>
          <w:p w14:paraId="4FD64C6D" w14:textId="6AE14FCC" w:rsidR="00574F43" w:rsidRPr="004D7FFE" w:rsidRDefault="00137CBF" w:rsidP="00CC49FF">
            <w:pPr>
              <w:pStyle w:val="TableHeader"/>
            </w:pPr>
            <w:r>
              <w:t>Component</w:t>
            </w:r>
          </w:p>
        </w:tc>
        <w:tc>
          <w:tcPr>
            <w:tcW w:w="839" w:type="pct"/>
            <w:shd w:val="clear" w:color="auto" w:fill="355777" w:themeFill="text2"/>
          </w:tcPr>
          <w:p w14:paraId="6B3EDFAA" w14:textId="77777777" w:rsidR="00574F43" w:rsidRPr="004D7FFE" w:rsidRDefault="00574F43" w:rsidP="00CC49FF">
            <w:pPr>
              <w:pStyle w:val="TableHeader"/>
            </w:pPr>
            <w:r w:rsidRPr="004D7FFE">
              <w:t>Test Description</w:t>
            </w:r>
          </w:p>
        </w:tc>
        <w:tc>
          <w:tcPr>
            <w:tcW w:w="1924" w:type="pct"/>
            <w:shd w:val="clear" w:color="auto" w:fill="355777" w:themeFill="text2"/>
          </w:tcPr>
          <w:p w14:paraId="66177670" w14:textId="64CE0327" w:rsidR="00574F43" w:rsidRPr="004D7FFE" w:rsidRDefault="00574F43" w:rsidP="00CC49FF">
            <w:pPr>
              <w:pStyle w:val="TableHeader"/>
            </w:pPr>
            <w:r>
              <w:t xml:space="preserve">Summary of </w:t>
            </w:r>
            <w:r w:rsidRPr="004D7FFE">
              <w:t>Expected Outcome</w:t>
            </w:r>
            <w:r w:rsidR="002B7B3A">
              <w:t>s</w:t>
            </w:r>
          </w:p>
        </w:tc>
        <w:tc>
          <w:tcPr>
            <w:tcW w:w="1040" w:type="pct"/>
            <w:shd w:val="clear" w:color="auto" w:fill="355777" w:themeFill="text2"/>
          </w:tcPr>
          <w:p w14:paraId="6B152BC3" w14:textId="224D6669" w:rsidR="00574F43" w:rsidRDefault="00574F43" w:rsidP="00CC49FF">
            <w:pPr>
              <w:pStyle w:val="TableHeader"/>
            </w:pPr>
            <w:r>
              <w:t xml:space="preserve">Known Issues that Impact </w:t>
            </w:r>
            <w:r w:rsidR="00273184">
              <w:t xml:space="preserve">Steps or </w:t>
            </w:r>
            <w:r>
              <w:t>Expected Outcomes</w:t>
            </w:r>
          </w:p>
        </w:tc>
      </w:tr>
      <w:tr w:rsidR="00574F43" w:rsidRPr="00BC6430" w14:paraId="03B4BF38" w14:textId="263CC6D0" w:rsidTr="00574F43">
        <w:trPr>
          <w:cantSplit/>
          <w:jc w:val="center"/>
        </w:trPr>
        <w:tc>
          <w:tcPr>
            <w:tcW w:w="368" w:type="pct"/>
          </w:tcPr>
          <w:p w14:paraId="65234B88" w14:textId="77777777" w:rsidR="00574F43" w:rsidRDefault="00574F43" w:rsidP="00CC49FF">
            <w:pPr>
              <w:pStyle w:val="TableText"/>
            </w:pPr>
            <w:r>
              <w:t>1</w:t>
            </w:r>
          </w:p>
        </w:tc>
        <w:tc>
          <w:tcPr>
            <w:tcW w:w="229" w:type="pct"/>
          </w:tcPr>
          <w:p w14:paraId="16159AC4" w14:textId="2521C0DA" w:rsidR="00574F43" w:rsidRPr="00BC6430" w:rsidRDefault="00574F43" w:rsidP="0015412A">
            <w:pPr>
              <w:pStyle w:val="TableText"/>
            </w:pPr>
            <w:r>
              <w:t>32.</w:t>
            </w:r>
          </w:p>
        </w:tc>
        <w:tc>
          <w:tcPr>
            <w:tcW w:w="600" w:type="pct"/>
          </w:tcPr>
          <w:p w14:paraId="55DF1C6E" w14:textId="39D1271A" w:rsidR="00574F43" w:rsidRPr="00BC6430" w:rsidRDefault="00C75F7E" w:rsidP="00C75F7E">
            <w:pPr>
              <w:pStyle w:val="TableText"/>
            </w:pPr>
            <w:r w:rsidRPr="00C75F7E">
              <w:t xml:space="preserve">Global M/R Compliance Determination </w:t>
            </w:r>
            <w:r>
              <w:t xml:space="preserve">for RTCR, </w:t>
            </w:r>
            <w:r w:rsidR="00574F43">
              <w:t>NO3,</w:t>
            </w:r>
            <w:r>
              <w:t xml:space="preserve"> and IOC</w:t>
            </w:r>
          </w:p>
        </w:tc>
        <w:tc>
          <w:tcPr>
            <w:tcW w:w="839" w:type="pct"/>
          </w:tcPr>
          <w:p w14:paraId="6B528FE2" w14:textId="25DA10FE" w:rsidR="00574F43" w:rsidRPr="00BC6430" w:rsidRDefault="00574F43">
            <w:pPr>
              <w:pStyle w:val="TableText"/>
            </w:pPr>
            <w:r>
              <w:t>Run M/R compliance globally for water systems in a specific regulating agency and for a specific Rule.</w:t>
            </w:r>
          </w:p>
        </w:tc>
        <w:tc>
          <w:tcPr>
            <w:tcW w:w="1924" w:type="pct"/>
          </w:tcPr>
          <w:p w14:paraId="5966CED4" w14:textId="77777777" w:rsidR="00574F43" w:rsidRPr="00EB697E" w:rsidRDefault="00574F43" w:rsidP="00CC49FF">
            <w:pPr>
              <w:pStyle w:val="TableText"/>
            </w:pPr>
            <w:r w:rsidRPr="00EB697E">
              <w:t>The BRE should:</w:t>
            </w:r>
          </w:p>
          <w:p w14:paraId="5819936D" w14:textId="39CAA8BB" w:rsidR="00574F43" w:rsidRPr="00EB697E" w:rsidRDefault="00574F43" w:rsidP="00CC49FF">
            <w:pPr>
              <w:pStyle w:val="TableBullet1"/>
            </w:pPr>
            <w:r>
              <w:t>Generate candidate monitoring schedules for different rules (RTCR, nitrate, and IOC) depending on the water system inventory data</w:t>
            </w:r>
          </w:p>
          <w:p w14:paraId="68399277" w14:textId="097D19D9" w:rsidR="00574F43" w:rsidRPr="00EB697E" w:rsidRDefault="00574F43" w:rsidP="0015412A">
            <w:pPr>
              <w:pStyle w:val="TableBullet1"/>
            </w:pPr>
            <w:r w:rsidRPr="00EB697E">
              <w:t xml:space="preserve">Create </w:t>
            </w:r>
            <w:r>
              <w:t>a set of candidate monitoring violations for certain rules when M/R compliance is run</w:t>
            </w:r>
            <w:r w:rsidRPr="00EB697E">
              <w:t xml:space="preserve"> </w:t>
            </w:r>
          </w:p>
        </w:tc>
        <w:tc>
          <w:tcPr>
            <w:tcW w:w="1040" w:type="pct"/>
          </w:tcPr>
          <w:p w14:paraId="04A3DBE1" w14:textId="74A9DA64" w:rsidR="00574F43" w:rsidRPr="00BD02AF" w:rsidRDefault="00BD02AF" w:rsidP="00BD02AF">
            <w:pPr>
              <w:pStyle w:val="TableText"/>
              <w:rPr>
                <w:rFonts w:cs="Arial"/>
                <w:szCs w:val="20"/>
              </w:rPr>
            </w:pPr>
            <w:r>
              <w:t xml:space="preserve">If </w:t>
            </w:r>
            <w:r w:rsidR="00276846">
              <w:t>u</w:t>
            </w:r>
            <w:r>
              <w:t xml:space="preserve">sers also </w:t>
            </w:r>
            <w:r w:rsidR="00276846">
              <w:t>run compliance for the 'SOC' Rule, candidate monitoring violations are not generated because of an issue with the SOC monitoring requirement reference records.</w:t>
            </w:r>
            <w:r w:rsidR="00455A11">
              <w:t xml:space="preserve"> See </w:t>
            </w:r>
            <w:r w:rsidR="00455A11">
              <w:rPr>
                <w:rFonts w:cs="Arial"/>
                <w:szCs w:val="20"/>
              </w:rPr>
              <w:t>S</w:t>
            </w:r>
            <w:r w:rsidR="00455A11" w:rsidRPr="00C571E4">
              <w:rPr>
                <w:rFonts w:cs="Arial"/>
                <w:szCs w:val="20"/>
              </w:rPr>
              <w:t>P-6069</w:t>
            </w:r>
            <w:r>
              <w:rPr>
                <w:rFonts w:cs="Arial"/>
                <w:szCs w:val="20"/>
              </w:rPr>
              <w:t xml:space="preserve"> in Appendix B.</w:t>
            </w:r>
          </w:p>
        </w:tc>
      </w:tr>
      <w:tr w:rsidR="00574F43" w:rsidRPr="00BC6430" w14:paraId="5660AED0" w14:textId="1D36F0B3" w:rsidTr="00574F43">
        <w:trPr>
          <w:cantSplit/>
          <w:jc w:val="center"/>
        </w:trPr>
        <w:tc>
          <w:tcPr>
            <w:tcW w:w="368" w:type="pct"/>
          </w:tcPr>
          <w:p w14:paraId="48186E9B" w14:textId="77777777" w:rsidR="00574F43" w:rsidRDefault="00574F43" w:rsidP="00CC49FF">
            <w:pPr>
              <w:pStyle w:val="TableText"/>
            </w:pPr>
            <w:r>
              <w:lastRenderedPageBreak/>
              <w:t>2</w:t>
            </w:r>
          </w:p>
        </w:tc>
        <w:tc>
          <w:tcPr>
            <w:tcW w:w="229" w:type="pct"/>
          </w:tcPr>
          <w:p w14:paraId="6C58110A" w14:textId="2692AC4C" w:rsidR="00574F43" w:rsidRPr="00BC6430" w:rsidRDefault="00574F43" w:rsidP="0015412A">
            <w:pPr>
              <w:pStyle w:val="TableText"/>
            </w:pPr>
            <w:r>
              <w:t>33.</w:t>
            </w:r>
          </w:p>
        </w:tc>
        <w:tc>
          <w:tcPr>
            <w:tcW w:w="600" w:type="pct"/>
          </w:tcPr>
          <w:p w14:paraId="09929995" w14:textId="5772A885" w:rsidR="00574F43" w:rsidRPr="00BC6430" w:rsidRDefault="002E1233" w:rsidP="00CC49FF">
            <w:pPr>
              <w:pStyle w:val="TableText"/>
            </w:pPr>
            <w:r w:rsidRPr="002E1233">
              <w:t>RTCR E. coli MCL Violations</w:t>
            </w:r>
          </w:p>
        </w:tc>
        <w:tc>
          <w:tcPr>
            <w:tcW w:w="839" w:type="pct"/>
          </w:tcPr>
          <w:p w14:paraId="55063273" w14:textId="75EB9C69" w:rsidR="00574F43" w:rsidRPr="00107C67" w:rsidRDefault="00574F43">
            <w:pPr>
              <w:pStyle w:val="TableText"/>
              <w:rPr>
                <w:rFonts w:cs="Arial"/>
              </w:rPr>
            </w:pPr>
            <w:r w:rsidRPr="0015412A">
              <w:rPr>
                <w:rFonts w:cs="Arial"/>
              </w:rPr>
              <w:t xml:space="preserve">Water systems receiving </w:t>
            </w:r>
            <w:r w:rsidRPr="002A1F87">
              <w:rPr>
                <w:rFonts w:cs="Arial"/>
              </w:rPr>
              <w:t xml:space="preserve">Maximum Contaminant Level </w:t>
            </w:r>
            <w:r>
              <w:rPr>
                <w:rFonts w:cs="Arial"/>
              </w:rPr>
              <w:t>(</w:t>
            </w:r>
            <w:r w:rsidRPr="0015412A">
              <w:rPr>
                <w:rFonts w:cs="Arial"/>
              </w:rPr>
              <w:t>MCL</w:t>
            </w:r>
            <w:r>
              <w:rPr>
                <w:rFonts w:cs="Arial"/>
              </w:rPr>
              <w:t>)</w:t>
            </w:r>
            <w:r w:rsidRPr="0015412A">
              <w:rPr>
                <w:rFonts w:cs="Arial"/>
              </w:rPr>
              <w:t xml:space="preserve"> violations for different reason. </w:t>
            </w:r>
            <w:r w:rsidRPr="00107C67">
              <w:rPr>
                <w:rFonts w:cs="Arial"/>
              </w:rPr>
              <w:t>Scenarios are:</w:t>
            </w:r>
          </w:p>
          <w:p w14:paraId="03132B9D" w14:textId="365637D5" w:rsidR="00574F43" w:rsidRPr="00107C67" w:rsidRDefault="00574F43" w:rsidP="00107C67">
            <w:pPr>
              <w:pStyle w:val="3vff3xh4yd"/>
              <w:shd w:val="clear" w:color="auto" w:fill="FFFFFF" w:themeFill="background1"/>
              <w:spacing w:before="0" w:beforeAutospacing="0" w:after="0" w:afterAutospacing="0"/>
              <w:rPr>
                <w:rFonts w:ascii="Arial" w:hAnsi="Arial" w:cs="Arial"/>
                <w:sz w:val="20"/>
                <w:szCs w:val="20"/>
              </w:rPr>
            </w:pPr>
            <w:r w:rsidRPr="0015412A">
              <w:rPr>
                <w:rFonts w:ascii="Arial" w:hAnsi="Arial" w:cs="Arial"/>
                <w:sz w:val="20"/>
                <w:szCs w:val="20"/>
              </w:rPr>
              <w:t xml:space="preserve">(2) </w:t>
            </w:r>
            <w:r>
              <w:rPr>
                <w:rFonts w:ascii="Arial" w:hAnsi="Arial" w:cs="Arial"/>
                <w:sz w:val="20"/>
                <w:szCs w:val="20"/>
              </w:rPr>
              <w:t>Public Water System (</w:t>
            </w:r>
            <w:r w:rsidRPr="0015412A">
              <w:rPr>
                <w:rFonts w:ascii="Arial" w:hAnsi="Arial" w:cs="Arial"/>
                <w:sz w:val="20"/>
                <w:szCs w:val="20"/>
              </w:rPr>
              <w:t>PWS</w:t>
            </w:r>
            <w:r>
              <w:rPr>
                <w:rFonts w:ascii="Arial" w:hAnsi="Arial" w:cs="Arial"/>
                <w:sz w:val="20"/>
                <w:szCs w:val="20"/>
              </w:rPr>
              <w:t>)</w:t>
            </w:r>
            <w:r w:rsidRPr="0015412A">
              <w:rPr>
                <w:rFonts w:ascii="Arial" w:hAnsi="Arial" w:cs="Arial"/>
                <w:sz w:val="20"/>
                <w:szCs w:val="20"/>
              </w:rPr>
              <w:t xml:space="preserve"> has a </w:t>
            </w:r>
            <w:r w:rsidRPr="002A1F87">
              <w:rPr>
                <w:rFonts w:ascii="Arial" w:hAnsi="Arial" w:cs="Arial"/>
                <w:sz w:val="20"/>
                <w:szCs w:val="20"/>
              </w:rPr>
              <w:t xml:space="preserve">Total Coliforms </w:t>
            </w:r>
            <w:r>
              <w:rPr>
                <w:rFonts w:ascii="Arial" w:hAnsi="Arial" w:cs="Arial"/>
                <w:sz w:val="20"/>
                <w:szCs w:val="20"/>
              </w:rPr>
              <w:t>(</w:t>
            </w:r>
            <w:r w:rsidRPr="0015412A">
              <w:rPr>
                <w:rFonts w:ascii="Arial" w:hAnsi="Arial" w:cs="Arial"/>
                <w:sz w:val="20"/>
                <w:szCs w:val="20"/>
              </w:rPr>
              <w:t>TC</w:t>
            </w:r>
            <w:r>
              <w:rPr>
                <w:rFonts w:ascii="Arial" w:hAnsi="Arial" w:cs="Arial"/>
                <w:sz w:val="20"/>
                <w:szCs w:val="20"/>
              </w:rPr>
              <w:t>)</w:t>
            </w:r>
            <w:r w:rsidRPr="0015412A">
              <w:rPr>
                <w:rFonts w:ascii="Arial" w:hAnsi="Arial" w:cs="Arial"/>
                <w:sz w:val="20"/>
                <w:szCs w:val="20"/>
              </w:rPr>
              <w:t xml:space="preserve"> positive repeat sample following an E. Coli + routine sample</w:t>
            </w:r>
          </w:p>
          <w:p w14:paraId="6E224E1E" w14:textId="0C00E542" w:rsidR="00574F43" w:rsidRPr="00107C67" w:rsidRDefault="00574F43" w:rsidP="00107C67">
            <w:pPr>
              <w:pStyle w:val="3vff3xh4yd"/>
              <w:shd w:val="clear" w:color="auto" w:fill="FFFFFF" w:themeFill="background1"/>
              <w:spacing w:before="0" w:beforeAutospacing="0" w:after="0" w:afterAutospacing="0"/>
              <w:rPr>
                <w:rFonts w:ascii="Arial" w:hAnsi="Arial" w:cs="Arial"/>
                <w:sz w:val="20"/>
                <w:szCs w:val="20"/>
              </w:rPr>
            </w:pPr>
            <w:r w:rsidRPr="0015412A">
              <w:rPr>
                <w:rFonts w:ascii="Arial" w:hAnsi="Arial" w:cs="Arial"/>
                <w:sz w:val="20"/>
                <w:szCs w:val="20"/>
              </w:rPr>
              <w:t>(3) PWS fails to take all required repeat samples following an E. Coli + routine sample</w:t>
            </w:r>
          </w:p>
          <w:p w14:paraId="3C2B1CA4" w14:textId="32E0DDED" w:rsidR="00574F43" w:rsidRPr="00107C67" w:rsidRDefault="00574F43" w:rsidP="00107C67">
            <w:pPr>
              <w:pStyle w:val="3vff3xh4yd"/>
              <w:shd w:val="clear" w:color="auto" w:fill="FFFFFF" w:themeFill="background1"/>
              <w:spacing w:before="0" w:beforeAutospacing="0" w:after="0" w:afterAutospacing="0"/>
              <w:rPr>
                <w:rFonts w:cs="Arial"/>
              </w:rPr>
            </w:pPr>
            <w:r w:rsidRPr="0015412A">
              <w:rPr>
                <w:rFonts w:ascii="Arial" w:hAnsi="Arial" w:cs="Arial"/>
                <w:sz w:val="20"/>
                <w:szCs w:val="20"/>
              </w:rPr>
              <w:t>(4) PWS fails to test for E. Coli when any repeat sample is TC +</w:t>
            </w:r>
          </w:p>
          <w:p w14:paraId="52605029" w14:textId="3DEF7D5E" w:rsidR="00574F43" w:rsidRPr="00107C67" w:rsidRDefault="00574F43" w:rsidP="00107C67">
            <w:pPr>
              <w:pStyle w:val="3vff3xh4yd"/>
              <w:shd w:val="clear" w:color="auto" w:fill="FFFFFF" w:themeFill="background1"/>
              <w:spacing w:before="0" w:beforeAutospacing="0" w:after="0" w:afterAutospacing="0"/>
              <w:rPr>
                <w:rFonts w:ascii="Arial" w:hAnsi="Arial" w:cs="Arial"/>
                <w:sz w:val="20"/>
                <w:szCs w:val="20"/>
              </w:rPr>
            </w:pPr>
          </w:p>
          <w:p w14:paraId="581AA0CD" w14:textId="4B10A140" w:rsidR="00574F43" w:rsidRPr="00107C67" w:rsidRDefault="00574F43" w:rsidP="00107C67">
            <w:pPr>
              <w:spacing w:line="259" w:lineRule="auto"/>
              <w:rPr>
                <w:rFonts w:ascii="Arial" w:hAnsi="Arial" w:cs="Arial"/>
                <w:sz w:val="20"/>
                <w:szCs w:val="20"/>
              </w:rPr>
            </w:pPr>
            <w:r w:rsidRPr="0015412A">
              <w:rPr>
                <w:rFonts w:ascii="Arial" w:hAnsi="Arial" w:cs="Arial"/>
                <w:sz w:val="20"/>
                <w:szCs w:val="20"/>
              </w:rPr>
              <w:t>Scenario (1):</w:t>
            </w:r>
            <w:r w:rsidRPr="00107C67">
              <w:rPr>
                <w:rFonts w:ascii="Arial" w:hAnsi="Arial" w:cs="Arial"/>
                <w:sz w:val="20"/>
                <w:szCs w:val="20"/>
              </w:rPr>
              <w:t xml:space="preserve"> The system has an E. coli-positive repeat sample following a total coliform-positive routine sample </w:t>
            </w:r>
            <w:r w:rsidRPr="0015412A">
              <w:rPr>
                <w:rFonts w:ascii="Arial" w:hAnsi="Arial" w:cs="Arial"/>
                <w:sz w:val="20"/>
                <w:szCs w:val="20"/>
              </w:rPr>
              <w:t>was completed as part of the September Release Test Case 7b.</w:t>
            </w:r>
          </w:p>
        </w:tc>
        <w:tc>
          <w:tcPr>
            <w:tcW w:w="1924" w:type="pct"/>
          </w:tcPr>
          <w:p w14:paraId="1097B0BE" w14:textId="77777777" w:rsidR="00574F43" w:rsidRPr="00EB697E" w:rsidRDefault="00574F43" w:rsidP="00CC49FF">
            <w:pPr>
              <w:pStyle w:val="TableText"/>
            </w:pPr>
            <w:r w:rsidRPr="00EB697E">
              <w:t>The BRE should:</w:t>
            </w:r>
          </w:p>
          <w:p w14:paraId="26641B74" w14:textId="39841D36" w:rsidR="00574F43" w:rsidRPr="00EB697E" w:rsidRDefault="00574F43" w:rsidP="52E1EA5D">
            <w:pPr>
              <w:pStyle w:val="TableBullet1"/>
            </w:pPr>
            <w:r w:rsidRPr="00EB697E">
              <w:t>Associate routine RTCR sample results to routine RTCR monitoring schedules</w:t>
            </w:r>
          </w:p>
          <w:p w14:paraId="1F1FA2E8" w14:textId="7CAD7E8D" w:rsidR="00574F43" w:rsidRDefault="00574F43" w:rsidP="00CC49FF">
            <w:pPr>
              <w:pStyle w:val="TableBullet1"/>
            </w:pPr>
            <w:r>
              <w:t>Create candidate repeat monitoring schedules with the originating sample result associated.</w:t>
            </w:r>
          </w:p>
          <w:p w14:paraId="0542B64B" w14:textId="36CE0619" w:rsidR="00574F43" w:rsidRDefault="00574F43" w:rsidP="00CC49FF">
            <w:pPr>
              <w:pStyle w:val="TableBullet1"/>
            </w:pPr>
            <w:r>
              <w:t>Create candidate E. Coli MCL violations</w:t>
            </w:r>
          </w:p>
          <w:p w14:paraId="18CCCECB" w14:textId="5D910595" w:rsidR="00574F43" w:rsidRDefault="00574F43" w:rsidP="00CC49FF">
            <w:pPr>
              <w:pStyle w:val="TableBullet1"/>
            </w:pPr>
            <w:r>
              <w:t>Create candidate monitoring violations</w:t>
            </w:r>
          </w:p>
          <w:p w14:paraId="1BB96744" w14:textId="77777777" w:rsidR="00574F43" w:rsidRDefault="00574F43" w:rsidP="00557F46">
            <w:pPr>
              <w:pStyle w:val="TableText"/>
            </w:pPr>
          </w:p>
          <w:p w14:paraId="32BB4C08" w14:textId="6AF5BF3E" w:rsidR="00574F43" w:rsidRPr="00C145B9" w:rsidRDefault="00574F43" w:rsidP="00557F46">
            <w:pPr>
              <w:pStyle w:val="TableText"/>
            </w:pPr>
          </w:p>
        </w:tc>
        <w:tc>
          <w:tcPr>
            <w:tcW w:w="1040" w:type="pct"/>
          </w:tcPr>
          <w:p w14:paraId="7231AF09" w14:textId="67F735A6" w:rsidR="00455A11" w:rsidRDefault="00455A11" w:rsidP="00455A11">
            <w:pPr>
              <w:pStyle w:val="TableText"/>
              <w:rPr>
                <w:rFonts w:cs="Arial"/>
                <w:szCs w:val="20"/>
              </w:rPr>
            </w:pPr>
            <w:r w:rsidRPr="00455A11">
              <w:rPr>
                <w:rFonts w:cs="Arial"/>
                <w:szCs w:val="20"/>
              </w:rPr>
              <w:t>While running Test Case 33, some candidate violations created by the BRE might not appear on the violations grid immediately.</w:t>
            </w:r>
            <w:r>
              <w:rPr>
                <w:rFonts w:cs="Arial"/>
                <w:szCs w:val="20"/>
              </w:rPr>
              <w:t xml:space="preserve"> T</w:t>
            </w:r>
            <w:r w:rsidRPr="00B63831">
              <w:rPr>
                <w:rFonts w:cs="Arial"/>
                <w:szCs w:val="20"/>
              </w:rPr>
              <w:t xml:space="preserve">his </w:t>
            </w:r>
            <w:r>
              <w:rPr>
                <w:rFonts w:cs="Arial"/>
                <w:szCs w:val="20"/>
              </w:rPr>
              <w:t>b</w:t>
            </w:r>
            <w:r w:rsidRPr="00B63831">
              <w:rPr>
                <w:rFonts w:cs="Arial"/>
                <w:szCs w:val="20"/>
              </w:rPr>
              <w:t xml:space="preserve">ehavior </w:t>
            </w:r>
            <w:r>
              <w:rPr>
                <w:rFonts w:cs="Arial"/>
                <w:szCs w:val="20"/>
              </w:rPr>
              <w:t xml:space="preserve">does </w:t>
            </w:r>
            <w:r w:rsidRPr="00B63831">
              <w:rPr>
                <w:rFonts w:cs="Arial"/>
                <w:szCs w:val="20"/>
              </w:rPr>
              <w:t xml:space="preserve">not </w:t>
            </w:r>
            <w:r>
              <w:rPr>
                <w:rFonts w:cs="Arial"/>
                <w:szCs w:val="20"/>
              </w:rPr>
              <w:t xml:space="preserve">occur </w:t>
            </w:r>
            <w:r w:rsidRPr="00B63831">
              <w:rPr>
                <w:rFonts w:cs="Arial"/>
                <w:szCs w:val="20"/>
              </w:rPr>
              <w:t>consistent</w:t>
            </w:r>
            <w:r>
              <w:rPr>
                <w:rFonts w:cs="Arial"/>
                <w:szCs w:val="20"/>
              </w:rPr>
              <w:t>ly. See SP-5558 in Appendix B.</w:t>
            </w:r>
          </w:p>
          <w:p w14:paraId="5FBCD213" w14:textId="1F53B71C" w:rsidR="00574F43" w:rsidRPr="00EB697E" w:rsidRDefault="00574F43" w:rsidP="00455A11">
            <w:pPr>
              <w:pStyle w:val="TableText"/>
            </w:pPr>
          </w:p>
        </w:tc>
      </w:tr>
      <w:tr w:rsidR="00367ECC" w:rsidRPr="00BC6430" w14:paraId="19DED014" w14:textId="69D414F1" w:rsidTr="00574F43">
        <w:trPr>
          <w:cantSplit/>
          <w:jc w:val="center"/>
        </w:trPr>
        <w:tc>
          <w:tcPr>
            <w:tcW w:w="368" w:type="pct"/>
          </w:tcPr>
          <w:p w14:paraId="42DC8567" w14:textId="19F1E651" w:rsidR="00367ECC" w:rsidRDefault="00367ECC" w:rsidP="00367ECC">
            <w:pPr>
              <w:pStyle w:val="TableText"/>
            </w:pPr>
            <w:r>
              <w:lastRenderedPageBreak/>
              <w:t>3</w:t>
            </w:r>
          </w:p>
        </w:tc>
        <w:tc>
          <w:tcPr>
            <w:tcW w:w="229" w:type="pct"/>
          </w:tcPr>
          <w:p w14:paraId="20F68F65" w14:textId="380734E6" w:rsidR="00367ECC" w:rsidRDefault="00367ECC" w:rsidP="00367ECC">
            <w:pPr>
              <w:pStyle w:val="TableText"/>
            </w:pPr>
            <w:r>
              <w:t>34</w:t>
            </w:r>
          </w:p>
        </w:tc>
        <w:tc>
          <w:tcPr>
            <w:tcW w:w="600" w:type="pct"/>
          </w:tcPr>
          <w:p w14:paraId="2DE7DA67" w14:textId="4DB5E456" w:rsidR="00367ECC" w:rsidRPr="00A91965" w:rsidRDefault="00367ECC" w:rsidP="00367ECC">
            <w:pPr>
              <w:pStyle w:val="TableText"/>
              <w:rPr>
                <w:highlight w:val="yellow"/>
              </w:rPr>
            </w:pPr>
            <w:r>
              <w:t>Process candidate violations for multiple Rules and water systems</w:t>
            </w:r>
          </w:p>
        </w:tc>
        <w:tc>
          <w:tcPr>
            <w:tcW w:w="839" w:type="pct"/>
          </w:tcPr>
          <w:p w14:paraId="32B26A8D" w14:textId="15B7BB84" w:rsidR="00367ECC" w:rsidRPr="00A91965" w:rsidRDefault="00367ECC" w:rsidP="00367ECC">
            <w:pPr>
              <w:pStyle w:val="TableText"/>
              <w:rPr>
                <w:rFonts w:cs="Arial"/>
                <w:highlight w:val="yellow"/>
              </w:rPr>
            </w:pPr>
            <w:r w:rsidRPr="009E1CE5">
              <w:t>Validate a global set of candidate violations and create PN requirements</w:t>
            </w:r>
          </w:p>
        </w:tc>
        <w:tc>
          <w:tcPr>
            <w:tcW w:w="1924" w:type="pct"/>
          </w:tcPr>
          <w:p w14:paraId="00FDFE4F" w14:textId="77777777" w:rsidR="00367ECC" w:rsidRPr="00367ECC" w:rsidRDefault="00367ECC" w:rsidP="00367ECC">
            <w:pPr>
              <w:rPr>
                <w:rFonts w:ascii="Arial" w:hAnsi="Arial" w:cs="Arial"/>
                <w:sz w:val="20"/>
                <w:szCs w:val="20"/>
              </w:rPr>
            </w:pPr>
            <w:r w:rsidRPr="00367ECC">
              <w:rPr>
                <w:rFonts w:ascii="Arial" w:hAnsi="Arial" w:cs="Arial"/>
                <w:sz w:val="20"/>
                <w:szCs w:val="20"/>
              </w:rPr>
              <w:t>Prime should:</w:t>
            </w:r>
          </w:p>
          <w:p w14:paraId="71F2F77A" w14:textId="77777777" w:rsidR="002513BA" w:rsidRPr="002513BA" w:rsidRDefault="00367ECC" w:rsidP="002513BA">
            <w:pPr>
              <w:pStyle w:val="TableBullet1"/>
              <w:rPr>
                <w:rFonts w:ascii="Calibri" w:hAnsi="Calibri"/>
                <w:sz w:val="22"/>
              </w:rPr>
            </w:pPr>
            <w:r w:rsidRPr="00367ECC">
              <w:t>Enable a user to adequately filter and sort a list of violations in order to validate a desired set of candidate violations all at once (e.g., all monitoring violations for RTCR for a selected period of time).</w:t>
            </w:r>
          </w:p>
          <w:p w14:paraId="01AE617E" w14:textId="110CFDD5" w:rsidR="00367ECC" w:rsidRPr="00367ECC" w:rsidRDefault="00367ECC" w:rsidP="002513BA">
            <w:pPr>
              <w:pStyle w:val="TableBullet1"/>
            </w:pPr>
            <w:r w:rsidRPr="00367ECC">
              <w:t>Create appropriate public notification requirements (e.g., Tier 3 PN for monitoring violations) when violations are validated.</w:t>
            </w:r>
          </w:p>
        </w:tc>
        <w:tc>
          <w:tcPr>
            <w:tcW w:w="1040" w:type="pct"/>
          </w:tcPr>
          <w:p w14:paraId="08344CED" w14:textId="4D23152A" w:rsidR="00367ECC" w:rsidRDefault="00367ECC" w:rsidP="00367ECC">
            <w:pPr>
              <w:pStyle w:val="TableBullet1"/>
              <w:numPr>
                <w:ilvl w:val="0"/>
                <w:numId w:val="0"/>
              </w:numPr>
            </w:pPr>
            <w:r>
              <w:t>No known issues impact the expected outcomes of this test case</w:t>
            </w:r>
          </w:p>
        </w:tc>
      </w:tr>
      <w:tr w:rsidR="00574F43" w:rsidRPr="00BC6430" w14:paraId="569DDD88" w14:textId="5977DEBD" w:rsidTr="00574F43">
        <w:trPr>
          <w:cantSplit/>
          <w:jc w:val="center"/>
        </w:trPr>
        <w:tc>
          <w:tcPr>
            <w:tcW w:w="368" w:type="pct"/>
          </w:tcPr>
          <w:p w14:paraId="561F4E95" w14:textId="083DF449" w:rsidR="00574F43" w:rsidRDefault="00574F43" w:rsidP="00CC49FF">
            <w:pPr>
              <w:pStyle w:val="TableText"/>
            </w:pPr>
            <w:r>
              <w:t>4</w:t>
            </w:r>
          </w:p>
        </w:tc>
        <w:tc>
          <w:tcPr>
            <w:tcW w:w="229" w:type="pct"/>
          </w:tcPr>
          <w:p w14:paraId="0A168EFC" w14:textId="2ADB60CF" w:rsidR="00574F43" w:rsidRPr="00BC6430" w:rsidRDefault="00574F43" w:rsidP="0015412A">
            <w:pPr>
              <w:pStyle w:val="TableText"/>
            </w:pPr>
            <w:r>
              <w:t>35.</w:t>
            </w:r>
          </w:p>
        </w:tc>
        <w:tc>
          <w:tcPr>
            <w:tcW w:w="600" w:type="pct"/>
          </w:tcPr>
          <w:p w14:paraId="1E781FC2" w14:textId="210260B3" w:rsidR="00574F43" w:rsidRPr="00BC6430" w:rsidRDefault="00574F43" w:rsidP="00137CBF">
            <w:pPr>
              <w:pStyle w:val="TableText"/>
            </w:pPr>
            <w:r w:rsidRPr="00CD377E">
              <w:t xml:space="preserve">Disinfection Byproducts </w:t>
            </w:r>
            <w:r>
              <w:t>(DBP</w:t>
            </w:r>
            <w:r w:rsidR="00137CBF">
              <w:t xml:space="preserve">) </w:t>
            </w:r>
            <w:r w:rsidR="00137CBF" w:rsidRPr="00137CBF">
              <w:t>M/R Sampling Point Violation</w:t>
            </w:r>
          </w:p>
        </w:tc>
        <w:tc>
          <w:tcPr>
            <w:tcW w:w="839" w:type="pct"/>
          </w:tcPr>
          <w:p w14:paraId="01671086" w14:textId="501B3B26" w:rsidR="00574F43" w:rsidRPr="00BC6430" w:rsidRDefault="00574F43" w:rsidP="00CC49FF">
            <w:pPr>
              <w:pStyle w:val="TableText"/>
            </w:pPr>
            <w:r>
              <w:t>Check that monitoring and reporting compliance is done at the sampling point level when sampling points are included in the monitoring schedule.</w:t>
            </w:r>
          </w:p>
        </w:tc>
        <w:tc>
          <w:tcPr>
            <w:tcW w:w="1924" w:type="pct"/>
          </w:tcPr>
          <w:p w14:paraId="314B7EB2" w14:textId="4E107B64" w:rsidR="00574F43" w:rsidRDefault="00574F43" w:rsidP="0015412A">
            <w:pPr>
              <w:pStyle w:val="TableBullet1"/>
              <w:numPr>
                <w:ilvl w:val="0"/>
                <w:numId w:val="0"/>
              </w:numPr>
            </w:pPr>
            <w:r>
              <w:t>The BRE should:</w:t>
            </w:r>
          </w:p>
          <w:p w14:paraId="2F764226" w14:textId="1C6173CA" w:rsidR="00574F43" w:rsidRPr="002513BA" w:rsidRDefault="00574F43" w:rsidP="002513BA">
            <w:pPr>
              <w:pStyle w:val="TableBullet1"/>
            </w:pPr>
            <w:r w:rsidRPr="002513BA">
              <w:t>Associate routine results to the routine monitoring schedules</w:t>
            </w:r>
          </w:p>
          <w:p w14:paraId="39A6691E" w14:textId="61A3D7AF" w:rsidR="00574F43" w:rsidRPr="002513BA" w:rsidRDefault="00574F43" w:rsidP="002513BA">
            <w:pPr>
              <w:pStyle w:val="TableBullet1"/>
            </w:pPr>
            <w:r w:rsidRPr="002513BA">
              <w:t>Create candidate minor monitoring violations (27), one for TTHM and one for HAA5</w:t>
            </w:r>
          </w:p>
          <w:p w14:paraId="51B98E88" w14:textId="4C0C9C00" w:rsidR="00574F43" w:rsidRPr="00FA74B8" w:rsidRDefault="00574F43" w:rsidP="002513BA">
            <w:pPr>
              <w:pStyle w:val="TableBullet1"/>
              <w:rPr>
                <w:szCs w:val="20"/>
              </w:rPr>
            </w:pPr>
            <w:r w:rsidRPr="002513BA">
              <w:t>Create candidate major monitoring violations (27) for failing to sample at the specified sampling point, one for TTHM and one for HAA5</w:t>
            </w:r>
          </w:p>
        </w:tc>
        <w:tc>
          <w:tcPr>
            <w:tcW w:w="1040" w:type="pct"/>
          </w:tcPr>
          <w:p w14:paraId="66A8CCCD" w14:textId="6C69C96A" w:rsidR="00574F43" w:rsidRDefault="002B7B3A" w:rsidP="0015412A">
            <w:pPr>
              <w:pStyle w:val="TableBullet1"/>
              <w:numPr>
                <w:ilvl w:val="0"/>
                <w:numId w:val="0"/>
              </w:numPr>
            </w:pPr>
            <w:r>
              <w:t>No known issues impact the expected outcomes of this test case</w:t>
            </w:r>
          </w:p>
        </w:tc>
      </w:tr>
      <w:tr w:rsidR="00574F43" w:rsidRPr="00BC6430" w14:paraId="0163735A" w14:textId="74C5D3FF" w:rsidTr="00574F43">
        <w:trPr>
          <w:cantSplit/>
          <w:jc w:val="center"/>
        </w:trPr>
        <w:tc>
          <w:tcPr>
            <w:tcW w:w="368" w:type="pct"/>
          </w:tcPr>
          <w:p w14:paraId="01489A5A" w14:textId="4BD1575B" w:rsidR="00574F43" w:rsidRDefault="00574F43" w:rsidP="00CC49FF">
            <w:pPr>
              <w:pStyle w:val="TableText"/>
            </w:pPr>
            <w:r>
              <w:t>5</w:t>
            </w:r>
          </w:p>
        </w:tc>
        <w:tc>
          <w:tcPr>
            <w:tcW w:w="229" w:type="pct"/>
          </w:tcPr>
          <w:p w14:paraId="59563068" w14:textId="624FCD9F" w:rsidR="00574F43" w:rsidRPr="00BC6430" w:rsidRDefault="00574F43" w:rsidP="0015412A">
            <w:pPr>
              <w:pStyle w:val="TableText"/>
            </w:pPr>
            <w:r>
              <w:t>37.</w:t>
            </w:r>
          </w:p>
        </w:tc>
        <w:tc>
          <w:tcPr>
            <w:tcW w:w="600" w:type="pct"/>
          </w:tcPr>
          <w:p w14:paraId="5A8BEB16" w14:textId="5970E07C" w:rsidR="00574F43" w:rsidRPr="00BC6430" w:rsidRDefault="00FB71E2" w:rsidP="00FB71E2">
            <w:pPr>
              <w:pStyle w:val="TableText"/>
            </w:pPr>
            <w:r w:rsidRPr="00CD377E">
              <w:t xml:space="preserve">Disinfection Byproducts </w:t>
            </w:r>
            <w:r>
              <w:t>(DBP) HAA5 and TTHM M/</w:t>
            </w:r>
            <w:r w:rsidRPr="00FB71E2">
              <w:t>R Violations</w:t>
            </w:r>
          </w:p>
        </w:tc>
        <w:tc>
          <w:tcPr>
            <w:tcW w:w="839" w:type="pct"/>
          </w:tcPr>
          <w:p w14:paraId="44C6801C" w14:textId="10CBA57D" w:rsidR="00574F43" w:rsidRPr="00BC6430" w:rsidRDefault="00574F43" w:rsidP="00CC49FF">
            <w:pPr>
              <w:pStyle w:val="TableText"/>
            </w:pPr>
            <w:r>
              <w:t>Check that the PWS collects samples in the appropriate month when on quarterly monitoring (e.g., If PWS collects its first quarter samples in January, the following samples must be collected in the first month of subsequent quarters, i.e., April, July, October)</w:t>
            </w:r>
          </w:p>
        </w:tc>
        <w:tc>
          <w:tcPr>
            <w:tcW w:w="1924" w:type="pct"/>
          </w:tcPr>
          <w:p w14:paraId="0E2D9934" w14:textId="77777777" w:rsidR="00574F43" w:rsidRPr="00EB697E" w:rsidRDefault="00574F43" w:rsidP="00CC49FF">
            <w:pPr>
              <w:pStyle w:val="TableText"/>
            </w:pPr>
            <w:r w:rsidRPr="00EB697E">
              <w:t>The BRE should:</w:t>
            </w:r>
          </w:p>
          <w:p w14:paraId="065B0A01" w14:textId="3F79A247" w:rsidR="00574F43" w:rsidRPr="002513BA" w:rsidRDefault="00574F43" w:rsidP="002513BA">
            <w:pPr>
              <w:pStyle w:val="TableBullet1"/>
            </w:pPr>
            <w:r w:rsidRPr="002513BA">
              <w:t>Associate routine results to the routine monitoring schedule</w:t>
            </w:r>
          </w:p>
          <w:p w14:paraId="6D9B7EFC" w14:textId="3859F124" w:rsidR="00574F43" w:rsidRPr="00FA74B8" w:rsidRDefault="00574F43" w:rsidP="002513BA">
            <w:pPr>
              <w:pStyle w:val="TableBullet1"/>
            </w:pPr>
            <w:r w:rsidRPr="002513BA">
              <w:t>Create candidate monitoring violations (27) because samples were collected more than 90 days after the previous samples, one for TTHM and one for HAA5</w:t>
            </w:r>
          </w:p>
        </w:tc>
        <w:tc>
          <w:tcPr>
            <w:tcW w:w="1040" w:type="pct"/>
          </w:tcPr>
          <w:p w14:paraId="6462E3AE" w14:textId="3160CB77" w:rsidR="00574F43" w:rsidRPr="00EB697E" w:rsidRDefault="002B7B3A" w:rsidP="00CC49FF">
            <w:pPr>
              <w:pStyle w:val="TableText"/>
            </w:pPr>
            <w:r>
              <w:t>No known issues impact the expected outcomes of this test case</w:t>
            </w:r>
          </w:p>
        </w:tc>
      </w:tr>
      <w:tr w:rsidR="00574F43" w:rsidRPr="00BC6430" w14:paraId="16883EB3" w14:textId="40C588C4" w:rsidTr="00574F43">
        <w:trPr>
          <w:cantSplit/>
          <w:jc w:val="center"/>
        </w:trPr>
        <w:tc>
          <w:tcPr>
            <w:tcW w:w="368" w:type="pct"/>
          </w:tcPr>
          <w:p w14:paraId="5F4CE317" w14:textId="391118CC" w:rsidR="00574F43" w:rsidRDefault="00574F43" w:rsidP="00CC49FF">
            <w:pPr>
              <w:pStyle w:val="TableText"/>
            </w:pPr>
            <w:r>
              <w:lastRenderedPageBreak/>
              <w:t>6</w:t>
            </w:r>
          </w:p>
        </w:tc>
        <w:tc>
          <w:tcPr>
            <w:tcW w:w="229" w:type="pct"/>
          </w:tcPr>
          <w:p w14:paraId="23B0C752" w14:textId="3E6965C0" w:rsidR="00574F43" w:rsidRPr="00BC6430" w:rsidRDefault="00574F43" w:rsidP="00CC49FF">
            <w:pPr>
              <w:pStyle w:val="TableText"/>
            </w:pPr>
            <w:r>
              <w:t>39.</w:t>
            </w:r>
          </w:p>
        </w:tc>
        <w:tc>
          <w:tcPr>
            <w:tcW w:w="600" w:type="pct"/>
          </w:tcPr>
          <w:p w14:paraId="4FDB4B30" w14:textId="0361C724" w:rsidR="00574F43" w:rsidRPr="00BC6430" w:rsidRDefault="00574F43" w:rsidP="00CC49FF">
            <w:pPr>
              <w:pStyle w:val="TableText"/>
            </w:pPr>
            <w:r>
              <w:t>GWR</w:t>
            </w:r>
          </w:p>
        </w:tc>
        <w:tc>
          <w:tcPr>
            <w:tcW w:w="839" w:type="pct"/>
          </w:tcPr>
          <w:p w14:paraId="2AE04555" w14:textId="59215C49" w:rsidR="00574F43" w:rsidRPr="00BC6430" w:rsidRDefault="00574F43" w:rsidP="00CC49FF">
            <w:pPr>
              <w:pStyle w:val="TableText"/>
            </w:pPr>
            <w:r>
              <w:t>Deficiencies were identified in a sanitary survey for a PWS. PWS fails to address one deficiency.</w:t>
            </w:r>
          </w:p>
        </w:tc>
        <w:tc>
          <w:tcPr>
            <w:tcW w:w="1924" w:type="pct"/>
          </w:tcPr>
          <w:p w14:paraId="78D09FFF" w14:textId="77777777" w:rsidR="00574F43" w:rsidRPr="0032499B" w:rsidRDefault="00574F43" w:rsidP="00CC49FF">
            <w:pPr>
              <w:pStyle w:val="TableText"/>
            </w:pPr>
            <w:r w:rsidRPr="0032499B">
              <w:t>The BRE should:</w:t>
            </w:r>
          </w:p>
          <w:p w14:paraId="7696FCD5" w14:textId="30260D8B" w:rsidR="00574F43" w:rsidRPr="0032499B" w:rsidRDefault="00574F43" w:rsidP="00936F8F">
            <w:pPr>
              <w:pStyle w:val="TableBullet1"/>
            </w:pPr>
            <w:r>
              <w:t>Create a candidate violation (45) for failing to address a deficiency</w:t>
            </w:r>
          </w:p>
          <w:p w14:paraId="47A4C0E0" w14:textId="7D295442" w:rsidR="00574F43" w:rsidRPr="00BC6430" w:rsidRDefault="00574F43" w:rsidP="00CC49FF">
            <w:pPr>
              <w:pStyle w:val="TableText"/>
            </w:pPr>
          </w:p>
        </w:tc>
        <w:tc>
          <w:tcPr>
            <w:tcW w:w="1040" w:type="pct"/>
          </w:tcPr>
          <w:p w14:paraId="17F49804" w14:textId="489F520C" w:rsidR="00EE5976" w:rsidRDefault="00D14301" w:rsidP="00CC49FF">
            <w:pPr>
              <w:pStyle w:val="TableText"/>
            </w:pPr>
            <w:r w:rsidRPr="00D14301">
              <w:t xml:space="preserve">When selecting a Deficiency Type for a Deficiency, Prime does not set the Severity to the default value for the selected Deficiency Type. </w:t>
            </w:r>
            <w:r w:rsidR="00EE5976">
              <w:t xml:space="preserve">This impacts the step in which users enter a Deficiency, but does not impact the expected outcomes. A work around exists. See </w:t>
            </w:r>
            <w:r w:rsidR="00EE5976" w:rsidRPr="00D14301">
              <w:t>SP-5592</w:t>
            </w:r>
            <w:r w:rsidR="00EE5976">
              <w:t xml:space="preserve"> in Appendix B.</w:t>
            </w:r>
          </w:p>
          <w:p w14:paraId="1364B382" w14:textId="77777777" w:rsidR="00EE5976" w:rsidRDefault="00EE5976" w:rsidP="00CC49FF">
            <w:pPr>
              <w:pStyle w:val="TableText"/>
            </w:pPr>
          </w:p>
          <w:p w14:paraId="751C9906" w14:textId="7FCBEAF9" w:rsidR="00574F43" w:rsidRPr="0032499B" w:rsidRDefault="00EE5976" w:rsidP="00EE5976">
            <w:pPr>
              <w:pStyle w:val="TableText"/>
            </w:pPr>
            <w:r>
              <w:t xml:space="preserve">Other </w:t>
            </w:r>
            <w:r w:rsidR="002B7B3A">
              <w:t>issue</w:t>
            </w:r>
            <w:r>
              <w:t>s</w:t>
            </w:r>
            <w:r w:rsidR="002B7B3A">
              <w:t xml:space="preserve"> found during the testing of Test Case 39, but none of them </w:t>
            </w:r>
            <w:r w:rsidR="00C9044B">
              <w:t>impact</w:t>
            </w:r>
            <w:r w:rsidR="002B7B3A">
              <w:t xml:space="preserve"> the expected outcomes. See </w:t>
            </w:r>
            <w:r>
              <w:rPr>
                <w:rFonts w:cs="Arial"/>
                <w:szCs w:val="20"/>
              </w:rPr>
              <w:t>SP-</w:t>
            </w:r>
            <w:r w:rsidR="002B7B3A">
              <w:t xml:space="preserve">SP-5956, </w:t>
            </w:r>
            <w:r w:rsidR="002B7B3A">
              <w:rPr>
                <w:rFonts w:cs="Arial"/>
                <w:szCs w:val="20"/>
              </w:rPr>
              <w:t xml:space="preserve"> in Appendix B.</w:t>
            </w:r>
          </w:p>
        </w:tc>
      </w:tr>
      <w:tr w:rsidR="00574F43" w:rsidRPr="00BC6430" w14:paraId="20F60D9C" w14:textId="65276281" w:rsidTr="00574F43">
        <w:trPr>
          <w:cantSplit/>
          <w:jc w:val="center"/>
        </w:trPr>
        <w:tc>
          <w:tcPr>
            <w:tcW w:w="368" w:type="pct"/>
          </w:tcPr>
          <w:p w14:paraId="03DA0D08" w14:textId="5FF122AC" w:rsidR="00574F43" w:rsidRDefault="00574F43" w:rsidP="00CC49FF">
            <w:pPr>
              <w:pStyle w:val="TableText"/>
            </w:pPr>
            <w:r>
              <w:t>7</w:t>
            </w:r>
          </w:p>
        </w:tc>
        <w:tc>
          <w:tcPr>
            <w:tcW w:w="229" w:type="pct"/>
          </w:tcPr>
          <w:p w14:paraId="5F32A1A1" w14:textId="34785109" w:rsidR="00574F43" w:rsidRPr="00BC6430" w:rsidRDefault="00574F43" w:rsidP="0015412A">
            <w:pPr>
              <w:pStyle w:val="TableText"/>
            </w:pPr>
            <w:r>
              <w:t>40.</w:t>
            </w:r>
          </w:p>
        </w:tc>
        <w:tc>
          <w:tcPr>
            <w:tcW w:w="600" w:type="pct"/>
          </w:tcPr>
          <w:p w14:paraId="346F8065" w14:textId="7D588323" w:rsidR="00574F43" w:rsidRPr="00BC6430" w:rsidRDefault="00574F43" w:rsidP="00CC49FF">
            <w:pPr>
              <w:pStyle w:val="TableText"/>
            </w:pPr>
            <w:r>
              <w:t>RTCR, Nitrate</w:t>
            </w:r>
          </w:p>
        </w:tc>
        <w:tc>
          <w:tcPr>
            <w:tcW w:w="839" w:type="pct"/>
          </w:tcPr>
          <w:p w14:paraId="349D738A" w14:textId="47ABD551" w:rsidR="00574F43" w:rsidRDefault="00574F43" w:rsidP="00CC49FF">
            <w:pPr>
              <w:pStyle w:val="TableText"/>
            </w:pPr>
            <w:r>
              <w:t>PWS collects a positive TC and a Nitrate result above the MCL.</w:t>
            </w:r>
          </w:p>
          <w:p w14:paraId="17664E9A" w14:textId="77777777" w:rsidR="00574F43" w:rsidRPr="00BC6430" w:rsidRDefault="00574F43" w:rsidP="00CC49FF">
            <w:pPr>
              <w:pStyle w:val="TableText"/>
            </w:pPr>
          </w:p>
        </w:tc>
        <w:tc>
          <w:tcPr>
            <w:tcW w:w="1924" w:type="pct"/>
          </w:tcPr>
          <w:p w14:paraId="25F52257" w14:textId="03FEBD66" w:rsidR="00574F43" w:rsidRDefault="00574F43" w:rsidP="00FA74B8">
            <w:pPr>
              <w:pStyle w:val="TableText"/>
            </w:pPr>
            <w:r>
              <w:t>The BRE should:</w:t>
            </w:r>
          </w:p>
          <w:p w14:paraId="07B1A41A" w14:textId="36B710C4" w:rsidR="00574F43" w:rsidRPr="002513BA" w:rsidRDefault="00574F43" w:rsidP="002513BA">
            <w:pPr>
              <w:pStyle w:val="TableBullet1"/>
            </w:pPr>
            <w:r w:rsidRPr="002513BA">
              <w:t>Associate routine results to routine monitoring schedules</w:t>
            </w:r>
          </w:p>
          <w:p w14:paraId="1733D64B" w14:textId="01863224" w:rsidR="00574F43" w:rsidRPr="002513BA" w:rsidRDefault="00574F43" w:rsidP="002513BA">
            <w:pPr>
              <w:pStyle w:val="TableBullet1"/>
            </w:pPr>
            <w:r w:rsidRPr="002513BA">
              <w:t>Create a candidate repeat monitoring schedule for RTCR and display the originating routine sample result</w:t>
            </w:r>
          </w:p>
          <w:p w14:paraId="375EEB62" w14:textId="2C8F7C2D" w:rsidR="00574F43" w:rsidRPr="002513BA" w:rsidRDefault="00574F43" w:rsidP="002513BA">
            <w:pPr>
              <w:pStyle w:val="TableBullet1"/>
            </w:pPr>
            <w:r w:rsidRPr="002513BA">
              <w:t>Create one or more candidate triggered monitoring schedules and display the originating routine RTCR sample result</w:t>
            </w:r>
          </w:p>
          <w:p w14:paraId="5ACF9208" w14:textId="0FB531F6" w:rsidR="00574F43" w:rsidRPr="002513BA" w:rsidRDefault="00574F43" w:rsidP="002513BA">
            <w:pPr>
              <w:pStyle w:val="TableBullet1"/>
            </w:pPr>
            <w:r w:rsidRPr="002513BA">
              <w:t>Create a candidate confirmation monitoring schedule for NO3 and display the originating routine nitrate sample result</w:t>
            </w:r>
          </w:p>
          <w:p w14:paraId="6920D3B7" w14:textId="77777777" w:rsidR="00574F43" w:rsidRDefault="00574F43" w:rsidP="00FA74B8">
            <w:pPr>
              <w:pStyle w:val="TableBullet2"/>
              <w:numPr>
                <w:ilvl w:val="0"/>
                <w:numId w:val="0"/>
              </w:numPr>
              <w:ind w:left="288"/>
            </w:pPr>
          </w:p>
          <w:p w14:paraId="25509F25" w14:textId="37AF8E83" w:rsidR="00574F43" w:rsidRPr="00107C67" w:rsidRDefault="00574F43" w:rsidP="00107C67">
            <w:pPr>
              <w:pStyle w:val="TableText"/>
              <w:rPr>
                <w:i/>
                <w:iCs/>
              </w:rPr>
            </w:pPr>
            <w:r w:rsidRPr="00107C67">
              <w:rPr>
                <w:i/>
                <w:iCs/>
              </w:rPr>
              <w:t xml:space="preserve">(Note: Prime will display these results and information about the sample on the user interface when viewing the candidate monitoring schedules) </w:t>
            </w:r>
          </w:p>
        </w:tc>
        <w:tc>
          <w:tcPr>
            <w:tcW w:w="1040" w:type="pct"/>
          </w:tcPr>
          <w:p w14:paraId="19F905C8" w14:textId="77777777" w:rsidR="000170F5" w:rsidRPr="000170F5" w:rsidRDefault="000170F5" w:rsidP="000170F5">
            <w:pPr>
              <w:pStyle w:val="TableText"/>
              <w:rPr>
                <w:rFonts w:cs="Arial"/>
                <w:szCs w:val="20"/>
              </w:rPr>
            </w:pPr>
            <w:r w:rsidRPr="000170F5">
              <w:rPr>
                <w:rFonts w:cs="Arial"/>
                <w:szCs w:val="20"/>
              </w:rPr>
              <w:t>Candidate triggered monitoring schedules do not display the Originating Result.</w:t>
            </w:r>
          </w:p>
          <w:p w14:paraId="32FADB49" w14:textId="6E638A5B" w:rsidR="00574F43" w:rsidRDefault="000170F5" w:rsidP="000170F5">
            <w:pPr>
              <w:pStyle w:val="TableText"/>
            </w:pPr>
            <w:r w:rsidRPr="000170F5">
              <w:rPr>
                <w:rFonts w:cs="Arial"/>
                <w:szCs w:val="20"/>
              </w:rPr>
              <w:t>Users can, however, select the originating result using the Originating Result dropdown.</w:t>
            </w:r>
            <w:r w:rsidR="00EE5976">
              <w:rPr>
                <w:rFonts w:cs="Arial"/>
                <w:szCs w:val="20"/>
              </w:rPr>
              <w:t xml:space="preserve"> See SP-5623</w:t>
            </w:r>
            <w:r w:rsidR="008111BA">
              <w:rPr>
                <w:rFonts w:cs="Arial"/>
                <w:szCs w:val="20"/>
              </w:rPr>
              <w:t xml:space="preserve"> in Appendix B.</w:t>
            </w:r>
          </w:p>
        </w:tc>
      </w:tr>
    </w:tbl>
    <w:p w14:paraId="57225CB0" w14:textId="77777777" w:rsidR="00791221" w:rsidRDefault="00791221" w:rsidP="00A9207B">
      <w:pPr>
        <w:pStyle w:val="BodyText"/>
        <w:sectPr w:rsidR="00791221" w:rsidSect="00FA74B8">
          <w:footerReference w:type="default" r:id="rId11"/>
          <w:pgSz w:w="12240" w:h="15840"/>
          <w:pgMar w:top="2160" w:right="720" w:bottom="1440" w:left="720" w:header="720" w:footer="432" w:gutter="0"/>
          <w:pgNumType w:start="1"/>
          <w:cols w:space="720"/>
          <w:docGrid w:linePitch="360"/>
        </w:sectPr>
      </w:pPr>
    </w:p>
    <w:p w14:paraId="0BB41699" w14:textId="4B370B05" w:rsidR="00E63356" w:rsidRDefault="00E63356" w:rsidP="00D23000">
      <w:pPr>
        <w:pStyle w:val="Heading1"/>
      </w:pPr>
      <w:r>
        <w:lastRenderedPageBreak/>
        <w:t>Appendix B: K</w:t>
      </w:r>
      <w:r w:rsidR="00D23000">
        <w:t xml:space="preserve">nown </w:t>
      </w:r>
      <w:r>
        <w:t>I</w:t>
      </w:r>
      <w:r w:rsidR="00D23000">
        <w:t>ssues</w:t>
      </w:r>
    </w:p>
    <w:p w14:paraId="6FE6FE3B" w14:textId="329740DD" w:rsidR="00E63356" w:rsidRDefault="000D12F6" w:rsidP="00A9207B">
      <w:pPr>
        <w:pStyle w:val="BodyText"/>
      </w:pPr>
      <w:r>
        <w:t xml:space="preserve">The table below </w:t>
      </w:r>
      <w:r w:rsidRPr="000D12F6">
        <w:t xml:space="preserve">contains a list of issues that are known to exist </w:t>
      </w:r>
      <w:r>
        <w:t>in CY19R1, the impact on functionality, and ways to overcome the issue</w:t>
      </w:r>
      <w:r w:rsidR="00B4031E">
        <w:t xml:space="preserve"> if </w:t>
      </w:r>
      <w:r w:rsidR="000D4242">
        <w:t xml:space="preserve">those ways are </w:t>
      </w:r>
      <w:r w:rsidR="008A4195">
        <w:t>available</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036"/>
        <w:gridCol w:w="3671"/>
        <w:gridCol w:w="2065"/>
      </w:tblGrid>
      <w:tr w:rsidR="00AC79C4" w:rsidRPr="007D359B" w14:paraId="5C9ECF73" w14:textId="77777777" w:rsidTr="00276846">
        <w:trPr>
          <w:cantSplit/>
          <w:trHeight w:val="288"/>
          <w:tblHeader/>
          <w:jc w:val="center"/>
        </w:trPr>
        <w:tc>
          <w:tcPr>
            <w:tcW w:w="935" w:type="pct"/>
            <w:shd w:val="clear" w:color="auto" w:fill="355777" w:themeFill="text2"/>
            <w:noWrap/>
            <w:vAlign w:val="center"/>
            <w:hideMark/>
          </w:tcPr>
          <w:p w14:paraId="709CC762" w14:textId="77777777" w:rsidR="00AC79C4" w:rsidRPr="007D359B" w:rsidRDefault="00AC79C4" w:rsidP="0037326B">
            <w:pPr>
              <w:pStyle w:val="TableHeader"/>
            </w:pPr>
            <w:r w:rsidRPr="007D359B">
              <w:t>Jira Ticket Number</w:t>
            </w:r>
          </w:p>
        </w:tc>
        <w:tc>
          <w:tcPr>
            <w:tcW w:w="1407" w:type="pct"/>
            <w:shd w:val="clear" w:color="auto" w:fill="355777" w:themeFill="text2"/>
            <w:vAlign w:val="center"/>
            <w:hideMark/>
          </w:tcPr>
          <w:p w14:paraId="4999E0F4" w14:textId="77777777" w:rsidR="00AC79C4" w:rsidRPr="007D359B" w:rsidRDefault="00AC79C4" w:rsidP="0037326B">
            <w:pPr>
              <w:pStyle w:val="TableHeader"/>
            </w:pPr>
            <w:r w:rsidRPr="007D359B">
              <w:t xml:space="preserve">Jira Ticket </w:t>
            </w:r>
            <w:r>
              <w:t>Issue Description</w:t>
            </w:r>
          </w:p>
        </w:tc>
        <w:tc>
          <w:tcPr>
            <w:tcW w:w="1701" w:type="pct"/>
            <w:shd w:val="clear" w:color="auto" w:fill="355777" w:themeFill="text2"/>
            <w:vAlign w:val="center"/>
          </w:tcPr>
          <w:p w14:paraId="2F57CF47" w14:textId="77777777" w:rsidR="00AC79C4" w:rsidRPr="007D359B" w:rsidRDefault="00AC79C4" w:rsidP="0037326B">
            <w:pPr>
              <w:pStyle w:val="TableHeader"/>
            </w:pPr>
            <w:r w:rsidRPr="007D359B">
              <w:t>I</w:t>
            </w:r>
            <w:r>
              <w:t>mpact on Functionality</w:t>
            </w:r>
          </w:p>
        </w:tc>
        <w:tc>
          <w:tcPr>
            <w:tcW w:w="957" w:type="pct"/>
            <w:shd w:val="clear" w:color="auto" w:fill="355777" w:themeFill="text2"/>
          </w:tcPr>
          <w:p w14:paraId="56B79A14" w14:textId="77777777" w:rsidR="00AC79C4" w:rsidRPr="007D359B" w:rsidRDefault="00AC79C4" w:rsidP="008E4C4F">
            <w:pPr>
              <w:pStyle w:val="TableHeader"/>
            </w:pPr>
            <w:r>
              <w:t>Test Case Impacted</w:t>
            </w:r>
          </w:p>
        </w:tc>
      </w:tr>
      <w:tr w:rsidR="00AC79C4" w:rsidRPr="007D359B" w14:paraId="55B15929" w14:textId="77777777" w:rsidTr="00276846">
        <w:trPr>
          <w:cantSplit/>
          <w:trHeight w:val="288"/>
          <w:jc w:val="center"/>
        </w:trPr>
        <w:tc>
          <w:tcPr>
            <w:tcW w:w="935" w:type="pct"/>
            <w:shd w:val="clear" w:color="auto" w:fill="auto"/>
            <w:noWrap/>
          </w:tcPr>
          <w:p w14:paraId="538954FB" w14:textId="77777777" w:rsidR="00AC79C4" w:rsidRPr="00231B9E" w:rsidRDefault="00AC79C4" w:rsidP="0037326B">
            <w:pPr>
              <w:pStyle w:val="TableText"/>
            </w:pPr>
            <w:r w:rsidRPr="00231B9E">
              <w:t>SP-3064</w:t>
            </w:r>
          </w:p>
        </w:tc>
        <w:tc>
          <w:tcPr>
            <w:tcW w:w="1407" w:type="pct"/>
            <w:shd w:val="clear" w:color="auto" w:fill="auto"/>
          </w:tcPr>
          <w:p w14:paraId="568DF1BB" w14:textId="77777777" w:rsidR="00AC79C4" w:rsidRPr="00231B9E" w:rsidRDefault="00AC79C4" w:rsidP="0037326B">
            <w:pPr>
              <w:pStyle w:val="TableText"/>
            </w:pPr>
            <w:r>
              <w:t>Sample Screens:</w:t>
            </w:r>
            <w:r w:rsidRPr="00231B9E">
              <w:t xml:space="preserve"> Retention of unsaved data while navigating between modules</w:t>
            </w:r>
          </w:p>
        </w:tc>
        <w:tc>
          <w:tcPr>
            <w:tcW w:w="1701" w:type="pct"/>
            <w:shd w:val="clear" w:color="auto" w:fill="auto"/>
          </w:tcPr>
          <w:p w14:paraId="1E7F76E4" w14:textId="77777777" w:rsidR="00AC79C4" w:rsidRDefault="00AC79C4" w:rsidP="0037326B">
            <w:pPr>
              <w:pStyle w:val="TableText"/>
            </w:pPr>
            <w:r w:rsidRPr="00231B9E">
              <w:t>Users can’t view the unsaved Sample values they entered when they navigate to a different module saving, such as Water Systems, and then return to the Samples module. The work around is for users to save the Samples data before navigating to a different module.</w:t>
            </w:r>
          </w:p>
          <w:p w14:paraId="1B00C825" w14:textId="77777777" w:rsidR="00AC79C4" w:rsidRDefault="00AC79C4" w:rsidP="0037326B">
            <w:pPr>
              <w:pStyle w:val="TableText"/>
            </w:pPr>
          </w:p>
          <w:p w14:paraId="080AF994" w14:textId="77777777" w:rsidR="00AC79C4" w:rsidRPr="00231B9E" w:rsidRDefault="00AC79C4" w:rsidP="00E741DE">
            <w:pPr>
              <w:pStyle w:val="TableText"/>
            </w:pPr>
            <w:r>
              <w:t>The issues will be addressed in CY19R3.</w:t>
            </w:r>
          </w:p>
        </w:tc>
        <w:tc>
          <w:tcPr>
            <w:tcW w:w="957" w:type="pct"/>
          </w:tcPr>
          <w:p w14:paraId="281556D8" w14:textId="77777777" w:rsidR="00AC79C4" w:rsidRPr="00231B9E" w:rsidRDefault="00AC79C4" w:rsidP="0037326B">
            <w:pPr>
              <w:pStyle w:val="TableText"/>
            </w:pPr>
            <w:r>
              <w:rPr>
                <w:rFonts w:cs="Arial"/>
                <w:szCs w:val="20"/>
              </w:rPr>
              <w:t>No test cases impacted</w:t>
            </w:r>
          </w:p>
        </w:tc>
      </w:tr>
      <w:tr w:rsidR="00AC79C4" w:rsidRPr="007D359B" w14:paraId="64AF7FCC" w14:textId="77777777" w:rsidTr="00276846">
        <w:trPr>
          <w:cantSplit/>
          <w:trHeight w:val="602"/>
          <w:jc w:val="center"/>
        </w:trPr>
        <w:tc>
          <w:tcPr>
            <w:tcW w:w="935" w:type="pct"/>
            <w:shd w:val="clear" w:color="auto" w:fill="auto"/>
            <w:noWrap/>
            <w:hideMark/>
          </w:tcPr>
          <w:p w14:paraId="0FB658AF" w14:textId="77777777" w:rsidR="00AC79C4" w:rsidRPr="007D359B" w:rsidRDefault="00AC79C4" w:rsidP="0037326B">
            <w:pPr>
              <w:pStyle w:val="TableText"/>
            </w:pPr>
            <w:r w:rsidRPr="007D359B">
              <w:t>SP-4634</w:t>
            </w:r>
          </w:p>
        </w:tc>
        <w:tc>
          <w:tcPr>
            <w:tcW w:w="1407" w:type="pct"/>
            <w:shd w:val="clear" w:color="auto" w:fill="auto"/>
            <w:hideMark/>
          </w:tcPr>
          <w:p w14:paraId="6174DC6E" w14:textId="77777777" w:rsidR="00AC79C4" w:rsidRPr="007D359B" w:rsidRDefault="00AC79C4" w:rsidP="008E4C4F">
            <w:pPr>
              <w:pStyle w:val="TableText"/>
            </w:pPr>
            <w:r w:rsidRPr="007D359B">
              <w:t>Monitoring Schedule</w:t>
            </w:r>
            <w:r>
              <w:t>:</w:t>
            </w:r>
            <w:r w:rsidRPr="007D359B">
              <w:t xml:space="preserve"> Time Zone issue affecting Dates</w:t>
            </w:r>
          </w:p>
        </w:tc>
        <w:tc>
          <w:tcPr>
            <w:tcW w:w="1701" w:type="pct"/>
          </w:tcPr>
          <w:p w14:paraId="5B396444" w14:textId="77777777" w:rsidR="00AC79C4" w:rsidRDefault="00AC79C4" w:rsidP="0037326B">
            <w:pPr>
              <w:pStyle w:val="TableText"/>
            </w:pPr>
            <w:r w:rsidRPr="001B60C6">
              <w:t>The SDWIS database captures the data and time for every date field.</w:t>
            </w:r>
            <w:r>
              <w:t xml:space="preserve"> However, the application inconsistently applies time to dates. In the case of Monitoring Schedules, this inconsistency can cause a d</w:t>
            </w:r>
            <w:r w:rsidRPr="001B60C6">
              <w:t xml:space="preserve">iscrepancy between the date displayed on the grid and </w:t>
            </w:r>
            <w:r>
              <w:t xml:space="preserve">the date displayed in the modal window. </w:t>
            </w:r>
          </w:p>
          <w:p w14:paraId="43C86BA8" w14:textId="77777777" w:rsidR="00AC79C4" w:rsidRDefault="00AC79C4" w:rsidP="0037326B">
            <w:pPr>
              <w:pStyle w:val="TableText"/>
            </w:pPr>
          </w:p>
          <w:p w14:paraId="7AD6D588" w14:textId="77777777" w:rsidR="00AC79C4" w:rsidRPr="007D359B" w:rsidRDefault="00AC79C4" w:rsidP="0037326B">
            <w:pPr>
              <w:pStyle w:val="TableText"/>
            </w:pPr>
            <w:r>
              <w:t>This issue has been resolved and will be released in CY19R2.</w:t>
            </w:r>
          </w:p>
        </w:tc>
        <w:tc>
          <w:tcPr>
            <w:tcW w:w="957" w:type="pct"/>
          </w:tcPr>
          <w:p w14:paraId="1ECAC9E1" w14:textId="77777777" w:rsidR="00AC79C4" w:rsidRPr="001B60C6" w:rsidRDefault="00AC79C4" w:rsidP="0037326B">
            <w:pPr>
              <w:pStyle w:val="TableText"/>
            </w:pPr>
            <w:r>
              <w:t>Test Case 7c.</w:t>
            </w:r>
          </w:p>
        </w:tc>
      </w:tr>
      <w:tr w:rsidR="00AC79C4" w:rsidRPr="007D359B" w14:paraId="2731DB00" w14:textId="77777777" w:rsidTr="00276846">
        <w:trPr>
          <w:cantSplit/>
          <w:trHeight w:val="134"/>
          <w:jc w:val="center"/>
        </w:trPr>
        <w:tc>
          <w:tcPr>
            <w:tcW w:w="935" w:type="pct"/>
            <w:shd w:val="clear" w:color="auto" w:fill="auto"/>
            <w:noWrap/>
          </w:tcPr>
          <w:p w14:paraId="3BC6A4C1" w14:textId="77777777" w:rsidR="00AC79C4" w:rsidRDefault="00AC79C4" w:rsidP="0037326B">
            <w:pPr>
              <w:pStyle w:val="TableText"/>
              <w:rPr>
                <w:rFonts w:cs="Arial"/>
                <w:szCs w:val="20"/>
              </w:rPr>
            </w:pPr>
            <w:r>
              <w:rPr>
                <w:rFonts w:cs="Arial"/>
                <w:szCs w:val="20"/>
              </w:rPr>
              <w:t>SP-4752</w:t>
            </w:r>
          </w:p>
        </w:tc>
        <w:tc>
          <w:tcPr>
            <w:tcW w:w="1407" w:type="pct"/>
            <w:shd w:val="clear" w:color="auto" w:fill="auto"/>
          </w:tcPr>
          <w:p w14:paraId="4EAB4C51" w14:textId="77777777" w:rsidR="00AC79C4" w:rsidRDefault="00AC79C4" w:rsidP="0037326B">
            <w:pPr>
              <w:pStyle w:val="TableText"/>
              <w:rPr>
                <w:rFonts w:cs="Arial"/>
                <w:szCs w:val="20"/>
              </w:rPr>
            </w:pPr>
            <w:r>
              <w:rPr>
                <w:rFonts w:cs="Arial"/>
                <w:szCs w:val="20"/>
              </w:rPr>
              <w:t>The BRE calculates an incorrect OEL value for HAA5 for some quarters.</w:t>
            </w:r>
          </w:p>
        </w:tc>
        <w:tc>
          <w:tcPr>
            <w:tcW w:w="1701" w:type="pct"/>
            <w:shd w:val="clear" w:color="auto" w:fill="auto"/>
          </w:tcPr>
          <w:p w14:paraId="1C9B8EDA" w14:textId="77777777" w:rsidR="00AC79C4" w:rsidRDefault="00AC79C4" w:rsidP="0037326B">
            <w:pPr>
              <w:pStyle w:val="TableText"/>
              <w:rPr>
                <w:rFonts w:cs="Arial"/>
                <w:szCs w:val="20"/>
              </w:rPr>
            </w:pPr>
            <w:r>
              <w:rPr>
                <w:rFonts w:cs="Arial"/>
                <w:szCs w:val="20"/>
              </w:rPr>
              <w:t>Users will see an incorrect value with more decimal places than expected displayed for the OEL.</w:t>
            </w:r>
          </w:p>
          <w:p w14:paraId="16C4095B" w14:textId="77777777" w:rsidR="00AC79C4" w:rsidRDefault="00AC79C4" w:rsidP="0037326B">
            <w:pPr>
              <w:pStyle w:val="TableText"/>
              <w:rPr>
                <w:rFonts w:cs="Arial"/>
                <w:szCs w:val="20"/>
              </w:rPr>
            </w:pPr>
          </w:p>
          <w:p w14:paraId="79A79876" w14:textId="77777777" w:rsidR="00AC79C4" w:rsidRDefault="00AC79C4" w:rsidP="0037326B">
            <w:pPr>
              <w:pStyle w:val="TableText"/>
              <w:rPr>
                <w:rFonts w:cs="Arial"/>
                <w:szCs w:val="20"/>
              </w:rPr>
            </w:pPr>
            <w:r>
              <w:rPr>
                <w:rFonts w:cs="Arial"/>
                <w:szCs w:val="20"/>
              </w:rPr>
              <w:t xml:space="preserve">Further analysis of the CFR is needed to determine if this issue should be fixed for the specific scenario.  </w:t>
            </w:r>
          </w:p>
        </w:tc>
        <w:tc>
          <w:tcPr>
            <w:tcW w:w="957" w:type="pct"/>
          </w:tcPr>
          <w:p w14:paraId="2D90CDBF" w14:textId="77777777" w:rsidR="00AC79C4" w:rsidRDefault="00AC79C4" w:rsidP="0037326B">
            <w:pPr>
              <w:pStyle w:val="TableText"/>
              <w:rPr>
                <w:rFonts w:cs="Arial"/>
                <w:szCs w:val="20"/>
              </w:rPr>
            </w:pPr>
            <w:r w:rsidRPr="007579AF">
              <w:rPr>
                <w:rFonts w:cs="Arial"/>
                <w:szCs w:val="20"/>
              </w:rPr>
              <w:t>No test cases impacted</w:t>
            </w:r>
          </w:p>
        </w:tc>
      </w:tr>
      <w:tr w:rsidR="00AC79C4" w:rsidRPr="007D359B" w14:paraId="6B13F5E4" w14:textId="77777777" w:rsidTr="00276846">
        <w:trPr>
          <w:cantSplit/>
          <w:trHeight w:val="134"/>
          <w:jc w:val="center"/>
        </w:trPr>
        <w:tc>
          <w:tcPr>
            <w:tcW w:w="935" w:type="pct"/>
            <w:shd w:val="clear" w:color="auto" w:fill="auto"/>
            <w:noWrap/>
          </w:tcPr>
          <w:p w14:paraId="3EAB54D5" w14:textId="77777777" w:rsidR="00AC79C4" w:rsidRDefault="00AC79C4" w:rsidP="0037326B">
            <w:pPr>
              <w:pStyle w:val="TableText"/>
              <w:rPr>
                <w:rFonts w:cs="Arial"/>
                <w:szCs w:val="20"/>
              </w:rPr>
            </w:pPr>
            <w:r>
              <w:rPr>
                <w:rFonts w:cs="Arial"/>
                <w:szCs w:val="20"/>
              </w:rPr>
              <w:t>SP-5031</w:t>
            </w:r>
          </w:p>
        </w:tc>
        <w:tc>
          <w:tcPr>
            <w:tcW w:w="1407" w:type="pct"/>
            <w:shd w:val="clear" w:color="auto" w:fill="auto"/>
          </w:tcPr>
          <w:p w14:paraId="4DE2544F" w14:textId="77777777" w:rsidR="00AC79C4" w:rsidRDefault="00AC79C4" w:rsidP="0037326B">
            <w:pPr>
              <w:pStyle w:val="TableText"/>
              <w:rPr>
                <w:rFonts w:cs="Arial"/>
                <w:szCs w:val="20"/>
              </w:rPr>
            </w:pPr>
            <w:r>
              <w:rPr>
                <w:rFonts w:cs="Arial"/>
                <w:szCs w:val="20"/>
              </w:rPr>
              <w:t>An invalid error message is displayed when entering an Actual Completion Date for a Task in Scheduled Activities.</w:t>
            </w:r>
          </w:p>
        </w:tc>
        <w:tc>
          <w:tcPr>
            <w:tcW w:w="1701" w:type="pct"/>
            <w:shd w:val="clear" w:color="auto" w:fill="auto"/>
          </w:tcPr>
          <w:p w14:paraId="7EC927DF" w14:textId="77777777" w:rsidR="00AC79C4" w:rsidRDefault="00AC79C4" w:rsidP="00FF77AF">
            <w:pPr>
              <w:pStyle w:val="TableText"/>
              <w:rPr>
                <w:rFonts w:cs="Arial"/>
                <w:szCs w:val="20"/>
              </w:rPr>
            </w:pPr>
            <w:r>
              <w:rPr>
                <w:rFonts w:cs="Arial"/>
                <w:szCs w:val="20"/>
              </w:rPr>
              <w:t>Users will need to click ‘Yes’ on the error message prior to saving the change.</w:t>
            </w:r>
          </w:p>
          <w:p w14:paraId="060B99AA" w14:textId="77777777" w:rsidR="00AC79C4" w:rsidRDefault="00AC79C4" w:rsidP="00FF77AF">
            <w:pPr>
              <w:pStyle w:val="TableText"/>
              <w:rPr>
                <w:rFonts w:cs="Arial"/>
                <w:szCs w:val="20"/>
              </w:rPr>
            </w:pPr>
          </w:p>
          <w:p w14:paraId="0612C7C8" w14:textId="77777777" w:rsidR="00AC79C4" w:rsidRDefault="00AC79C4" w:rsidP="00FF77AF">
            <w:pPr>
              <w:pStyle w:val="TableText"/>
              <w:rPr>
                <w:rFonts w:cs="Arial"/>
                <w:szCs w:val="20"/>
              </w:rPr>
            </w:pPr>
            <w:r>
              <w:rPr>
                <w:rFonts w:cs="Arial"/>
                <w:szCs w:val="20"/>
              </w:rPr>
              <w:t>This issue has been resolved and will be available in CY19R2.</w:t>
            </w:r>
          </w:p>
        </w:tc>
        <w:tc>
          <w:tcPr>
            <w:tcW w:w="957" w:type="pct"/>
          </w:tcPr>
          <w:p w14:paraId="1986FFE7" w14:textId="77777777" w:rsidR="00AC79C4" w:rsidRDefault="00AC79C4" w:rsidP="00FF77AF">
            <w:pPr>
              <w:pStyle w:val="TableText"/>
              <w:rPr>
                <w:rFonts w:cs="Arial"/>
                <w:szCs w:val="20"/>
              </w:rPr>
            </w:pPr>
            <w:r w:rsidRPr="007579AF">
              <w:rPr>
                <w:rFonts w:cs="Arial"/>
                <w:szCs w:val="20"/>
              </w:rPr>
              <w:t>No test cases impacted</w:t>
            </w:r>
          </w:p>
        </w:tc>
      </w:tr>
      <w:tr w:rsidR="00AC79C4" w:rsidRPr="007D359B" w14:paraId="7BB2181D" w14:textId="77777777" w:rsidTr="00276846">
        <w:trPr>
          <w:cantSplit/>
          <w:trHeight w:val="288"/>
          <w:jc w:val="center"/>
        </w:trPr>
        <w:tc>
          <w:tcPr>
            <w:tcW w:w="935" w:type="pct"/>
            <w:shd w:val="clear" w:color="auto" w:fill="auto"/>
            <w:noWrap/>
          </w:tcPr>
          <w:p w14:paraId="77CD15C6" w14:textId="77777777" w:rsidR="00AC79C4" w:rsidRDefault="00AC79C4" w:rsidP="0037326B">
            <w:pPr>
              <w:pStyle w:val="TableText"/>
              <w:rPr>
                <w:rFonts w:cs="Arial"/>
                <w:szCs w:val="20"/>
              </w:rPr>
            </w:pPr>
            <w:r>
              <w:rPr>
                <w:rFonts w:cs="Arial"/>
                <w:szCs w:val="20"/>
              </w:rPr>
              <w:t>SP-5500</w:t>
            </w:r>
          </w:p>
        </w:tc>
        <w:tc>
          <w:tcPr>
            <w:tcW w:w="1407" w:type="pct"/>
            <w:shd w:val="clear" w:color="auto" w:fill="auto"/>
          </w:tcPr>
          <w:p w14:paraId="11C94724" w14:textId="77777777" w:rsidR="00AC79C4" w:rsidRDefault="00AC79C4" w:rsidP="0037326B">
            <w:pPr>
              <w:pStyle w:val="TableText"/>
              <w:rPr>
                <w:rFonts w:cs="Arial"/>
                <w:szCs w:val="20"/>
              </w:rPr>
            </w:pPr>
            <w:r>
              <w:rPr>
                <w:rFonts w:cs="Arial"/>
                <w:szCs w:val="20"/>
              </w:rPr>
              <w:t>When rescinding a violation, the status of the violation might not be displayed until the grid is refreshed</w:t>
            </w:r>
          </w:p>
        </w:tc>
        <w:tc>
          <w:tcPr>
            <w:tcW w:w="1701" w:type="pct"/>
            <w:shd w:val="clear" w:color="auto" w:fill="auto"/>
          </w:tcPr>
          <w:p w14:paraId="71BAED71" w14:textId="77777777" w:rsidR="00AC79C4" w:rsidRDefault="00AC79C4" w:rsidP="0037326B">
            <w:pPr>
              <w:pStyle w:val="TableText"/>
              <w:rPr>
                <w:rFonts w:cs="Arial"/>
                <w:szCs w:val="20"/>
              </w:rPr>
            </w:pPr>
            <w:r>
              <w:rPr>
                <w:rFonts w:cs="Arial"/>
                <w:szCs w:val="20"/>
              </w:rPr>
              <w:t>Users will have to click the refresh button to see the violation status changed to “Rescinded.”</w:t>
            </w:r>
          </w:p>
          <w:p w14:paraId="2B33FF30" w14:textId="77777777" w:rsidR="00AC79C4" w:rsidRDefault="00AC79C4" w:rsidP="0037326B">
            <w:pPr>
              <w:pStyle w:val="TableText"/>
              <w:rPr>
                <w:rFonts w:cs="Arial"/>
                <w:szCs w:val="20"/>
              </w:rPr>
            </w:pPr>
          </w:p>
          <w:p w14:paraId="04D1A716" w14:textId="77777777" w:rsidR="00AC79C4" w:rsidRDefault="00AC79C4" w:rsidP="0037326B">
            <w:pPr>
              <w:pStyle w:val="TableText"/>
              <w:rPr>
                <w:rFonts w:cs="Arial"/>
                <w:szCs w:val="20"/>
              </w:rPr>
            </w:pPr>
            <w:r>
              <w:rPr>
                <w:rFonts w:cs="Arial"/>
                <w:szCs w:val="20"/>
              </w:rPr>
              <w:t>This issue has been resolved and will be available in CY19R2.</w:t>
            </w:r>
          </w:p>
        </w:tc>
        <w:tc>
          <w:tcPr>
            <w:tcW w:w="957" w:type="pct"/>
          </w:tcPr>
          <w:p w14:paraId="7A03B7E0" w14:textId="77777777" w:rsidR="00AC79C4" w:rsidRDefault="00AC79C4" w:rsidP="0037326B">
            <w:pPr>
              <w:pStyle w:val="TableText"/>
              <w:rPr>
                <w:rFonts w:cs="Arial"/>
                <w:szCs w:val="20"/>
              </w:rPr>
            </w:pPr>
            <w:r w:rsidRPr="007579AF">
              <w:rPr>
                <w:rFonts w:cs="Arial"/>
                <w:szCs w:val="20"/>
              </w:rPr>
              <w:t>No test cases impacted</w:t>
            </w:r>
          </w:p>
        </w:tc>
      </w:tr>
      <w:tr w:rsidR="00AC79C4" w:rsidRPr="007D359B" w14:paraId="60F6C222" w14:textId="77777777" w:rsidTr="00276846">
        <w:trPr>
          <w:cantSplit/>
          <w:trHeight w:val="288"/>
          <w:jc w:val="center"/>
        </w:trPr>
        <w:tc>
          <w:tcPr>
            <w:tcW w:w="935" w:type="pct"/>
            <w:shd w:val="clear" w:color="auto" w:fill="auto"/>
            <w:noWrap/>
          </w:tcPr>
          <w:p w14:paraId="7A540798" w14:textId="77777777" w:rsidR="00AC79C4" w:rsidRDefault="00AC79C4" w:rsidP="0037326B">
            <w:pPr>
              <w:pStyle w:val="TableText"/>
              <w:rPr>
                <w:rFonts w:cs="Arial"/>
                <w:szCs w:val="20"/>
              </w:rPr>
            </w:pPr>
            <w:r>
              <w:rPr>
                <w:rFonts w:cs="Arial"/>
                <w:szCs w:val="20"/>
              </w:rPr>
              <w:lastRenderedPageBreak/>
              <w:t>SP-5557</w:t>
            </w:r>
          </w:p>
        </w:tc>
        <w:tc>
          <w:tcPr>
            <w:tcW w:w="1407" w:type="pct"/>
            <w:shd w:val="clear" w:color="auto" w:fill="auto"/>
          </w:tcPr>
          <w:p w14:paraId="04B44430" w14:textId="77777777" w:rsidR="00AC79C4" w:rsidRDefault="00AC79C4" w:rsidP="0037326B">
            <w:pPr>
              <w:pStyle w:val="TableText"/>
              <w:rPr>
                <w:rFonts w:cs="Arial"/>
                <w:szCs w:val="20"/>
              </w:rPr>
            </w:pPr>
            <w:r>
              <w:rPr>
                <w:rFonts w:cs="Arial"/>
                <w:szCs w:val="20"/>
              </w:rPr>
              <w:t>For Test Case 12a and 11a, the candidate violation created by the BRE is missing the contaminant code.</w:t>
            </w:r>
          </w:p>
        </w:tc>
        <w:tc>
          <w:tcPr>
            <w:tcW w:w="1701" w:type="pct"/>
            <w:shd w:val="clear" w:color="auto" w:fill="auto"/>
          </w:tcPr>
          <w:p w14:paraId="12A8A38E" w14:textId="77777777" w:rsidR="00AC79C4" w:rsidRDefault="00AC79C4" w:rsidP="0037326B">
            <w:pPr>
              <w:pStyle w:val="TableText"/>
              <w:rPr>
                <w:rFonts w:cs="Arial"/>
                <w:szCs w:val="20"/>
              </w:rPr>
            </w:pPr>
            <w:r>
              <w:rPr>
                <w:rFonts w:cs="Arial"/>
                <w:szCs w:val="20"/>
              </w:rPr>
              <w:t>Users will not see the contaminant code when opening the candidate violation but will be able to select it if they click the contaminant field.</w:t>
            </w:r>
          </w:p>
          <w:p w14:paraId="6A974850" w14:textId="77777777" w:rsidR="00AC79C4" w:rsidRDefault="00AC79C4" w:rsidP="0037326B">
            <w:pPr>
              <w:pStyle w:val="TableText"/>
              <w:rPr>
                <w:rFonts w:cs="Arial"/>
                <w:szCs w:val="20"/>
              </w:rPr>
            </w:pPr>
          </w:p>
          <w:p w14:paraId="48BE1B13" w14:textId="77777777" w:rsidR="00AC79C4" w:rsidRDefault="00AC79C4" w:rsidP="0037326B">
            <w:pPr>
              <w:pStyle w:val="TableText"/>
              <w:rPr>
                <w:rFonts w:cs="Arial"/>
                <w:szCs w:val="20"/>
              </w:rPr>
            </w:pPr>
            <w:r>
              <w:rPr>
                <w:rFonts w:cs="Arial"/>
                <w:szCs w:val="20"/>
              </w:rPr>
              <w:t>This issue has been resolved and will be available in CY19R2.</w:t>
            </w:r>
          </w:p>
        </w:tc>
        <w:tc>
          <w:tcPr>
            <w:tcW w:w="957" w:type="pct"/>
          </w:tcPr>
          <w:p w14:paraId="402184F7" w14:textId="77777777" w:rsidR="00AC79C4" w:rsidRDefault="00AC79C4" w:rsidP="0037326B">
            <w:pPr>
              <w:pStyle w:val="TableText"/>
              <w:rPr>
                <w:rFonts w:cs="Arial"/>
                <w:szCs w:val="20"/>
              </w:rPr>
            </w:pPr>
            <w:r>
              <w:rPr>
                <w:rFonts w:cs="Arial"/>
                <w:szCs w:val="20"/>
              </w:rPr>
              <w:t>Test Cases 11a and 12a</w:t>
            </w:r>
          </w:p>
        </w:tc>
      </w:tr>
      <w:tr w:rsidR="00AC79C4" w:rsidRPr="007D359B" w14:paraId="206ED13F" w14:textId="77777777" w:rsidTr="00276846">
        <w:trPr>
          <w:cantSplit/>
          <w:trHeight w:val="288"/>
          <w:jc w:val="center"/>
        </w:trPr>
        <w:tc>
          <w:tcPr>
            <w:tcW w:w="935" w:type="pct"/>
            <w:shd w:val="clear" w:color="auto" w:fill="auto"/>
            <w:noWrap/>
          </w:tcPr>
          <w:p w14:paraId="75827A59" w14:textId="77777777" w:rsidR="00AC79C4" w:rsidRDefault="00AC79C4" w:rsidP="0037326B">
            <w:pPr>
              <w:pStyle w:val="TableText"/>
              <w:rPr>
                <w:rFonts w:cs="Arial"/>
                <w:szCs w:val="20"/>
              </w:rPr>
            </w:pPr>
            <w:r>
              <w:rPr>
                <w:rFonts w:cs="Arial"/>
                <w:szCs w:val="20"/>
              </w:rPr>
              <w:t>SP-5558</w:t>
            </w:r>
          </w:p>
        </w:tc>
        <w:tc>
          <w:tcPr>
            <w:tcW w:w="1407" w:type="pct"/>
            <w:shd w:val="clear" w:color="auto" w:fill="auto"/>
          </w:tcPr>
          <w:p w14:paraId="299CAD08" w14:textId="77777777" w:rsidR="00AC79C4" w:rsidRDefault="00AC79C4" w:rsidP="0037326B">
            <w:pPr>
              <w:pStyle w:val="TableText"/>
              <w:rPr>
                <w:rFonts w:cs="Arial"/>
                <w:szCs w:val="20"/>
              </w:rPr>
            </w:pPr>
            <w:r>
              <w:rPr>
                <w:rFonts w:cs="Arial"/>
                <w:szCs w:val="20"/>
              </w:rPr>
              <w:t>While running Test Case 33, some candidate violations created by the BRE might not appear on the violations grid immediately.</w:t>
            </w:r>
          </w:p>
        </w:tc>
        <w:tc>
          <w:tcPr>
            <w:tcW w:w="1701" w:type="pct"/>
            <w:shd w:val="clear" w:color="auto" w:fill="auto"/>
          </w:tcPr>
          <w:p w14:paraId="7AA6D9C1" w14:textId="77777777" w:rsidR="00AC79C4" w:rsidRDefault="00AC79C4" w:rsidP="0037326B">
            <w:pPr>
              <w:pStyle w:val="TableText"/>
              <w:rPr>
                <w:rFonts w:cs="Arial"/>
                <w:szCs w:val="20"/>
              </w:rPr>
            </w:pPr>
            <w:r>
              <w:rPr>
                <w:rFonts w:cs="Arial"/>
                <w:szCs w:val="20"/>
              </w:rPr>
              <w:t xml:space="preserve">If this issue arises, users might need to close the water system and open it again to see the violations in the grid. </w:t>
            </w:r>
          </w:p>
          <w:p w14:paraId="6DFCB6C0" w14:textId="77777777" w:rsidR="00AC79C4" w:rsidRDefault="00AC79C4" w:rsidP="0037326B">
            <w:pPr>
              <w:pStyle w:val="TableText"/>
              <w:rPr>
                <w:rFonts w:cs="Arial"/>
                <w:szCs w:val="20"/>
              </w:rPr>
            </w:pPr>
          </w:p>
          <w:p w14:paraId="12FBC47C" w14:textId="77777777" w:rsidR="00AC79C4" w:rsidRDefault="00AC79C4" w:rsidP="001538CC">
            <w:pPr>
              <w:pStyle w:val="TableText"/>
              <w:rPr>
                <w:rFonts w:cs="Arial"/>
                <w:szCs w:val="20"/>
              </w:rPr>
            </w:pPr>
            <w:r>
              <w:rPr>
                <w:rFonts w:cs="Arial"/>
                <w:szCs w:val="20"/>
              </w:rPr>
              <w:t>T</w:t>
            </w:r>
            <w:r w:rsidRPr="00B63831">
              <w:rPr>
                <w:rFonts w:cs="Arial"/>
                <w:szCs w:val="20"/>
              </w:rPr>
              <w:t xml:space="preserve">his </w:t>
            </w:r>
            <w:r>
              <w:rPr>
                <w:rFonts w:cs="Arial"/>
                <w:szCs w:val="20"/>
              </w:rPr>
              <w:t>b</w:t>
            </w:r>
            <w:r w:rsidRPr="00B63831">
              <w:rPr>
                <w:rFonts w:cs="Arial"/>
                <w:szCs w:val="20"/>
              </w:rPr>
              <w:t xml:space="preserve">ehavior </w:t>
            </w:r>
            <w:r>
              <w:rPr>
                <w:rFonts w:cs="Arial"/>
                <w:szCs w:val="20"/>
              </w:rPr>
              <w:t xml:space="preserve">does </w:t>
            </w:r>
            <w:r w:rsidRPr="00B63831">
              <w:rPr>
                <w:rFonts w:cs="Arial"/>
                <w:szCs w:val="20"/>
              </w:rPr>
              <w:t xml:space="preserve">not </w:t>
            </w:r>
            <w:r>
              <w:rPr>
                <w:rFonts w:cs="Arial"/>
                <w:szCs w:val="20"/>
              </w:rPr>
              <w:t xml:space="preserve">occur </w:t>
            </w:r>
            <w:r w:rsidRPr="00B63831">
              <w:rPr>
                <w:rFonts w:cs="Arial"/>
                <w:szCs w:val="20"/>
              </w:rPr>
              <w:t>consistent</w:t>
            </w:r>
            <w:r>
              <w:rPr>
                <w:rFonts w:cs="Arial"/>
                <w:szCs w:val="20"/>
              </w:rPr>
              <w:t xml:space="preserve">ly. Testing for this issue is needed </w:t>
            </w:r>
            <w:r w:rsidRPr="00B63831">
              <w:rPr>
                <w:rFonts w:cs="Arial"/>
                <w:szCs w:val="20"/>
              </w:rPr>
              <w:t>in Pre-Production.</w:t>
            </w:r>
          </w:p>
        </w:tc>
        <w:tc>
          <w:tcPr>
            <w:tcW w:w="957" w:type="pct"/>
          </w:tcPr>
          <w:p w14:paraId="5FAD8FB4" w14:textId="77777777" w:rsidR="00AC79C4" w:rsidRDefault="00AC79C4" w:rsidP="0037326B">
            <w:pPr>
              <w:pStyle w:val="TableText"/>
              <w:rPr>
                <w:rFonts w:cs="Arial"/>
                <w:szCs w:val="20"/>
              </w:rPr>
            </w:pPr>
            <w:r>
              <w:rPr>
                <w:rFonts w:cs="Arial"/>
                <w:szCs w:val="20"/>
              </w:rPr>
              <w:t>Test Case 33</w:t>
            </w:r>
          </w:p>
        </w:tc>
      </w:tr>
      <w:tr w:rsidR="00AC79C4" w:rsidRPr="007D359B" w14:paraId="5FFF4125" w14:textId="77777777" w:rsidTr="00276846">
        <w:trPr>
          <w:cantSplit/>
          <w:trHeight w:val="288"/>
          <w:jc w:val="center"/>
        </w:trPr>
        <w:tc>
          <w:tcPr>
            <w:tcW w:w="935" w:type="pct"/>
            <w:shd w:val="clear" w:color="auto" w:fill="auto"/>
            <w:noWrap/>
          </w:tcPr>
          <w:p w14:paraId="565E2418" w14:textId="77777777" w:rsidR="00AC79C4" w:rsidRDefault="00AC79C4" w:rsidP="0037326B">
            <w:pPr>
              <w:pStyle w:val="TableText"/>
              <w:rPr>
                <w:rFonts w:cs="Arial"/>
                <w:szCs w:val="20"/>
              </w:rPr>
            </w:pPr>
            <w:r>
              <w:rPr>
                <w:rFonts w:cs="Arial"/>
                <w:szCs w:val="20"/>
              </w:rPr>
              <w:t>SP-5592</w:t>
            </w:r>
          </w:p>
        </w:tc>
        <w:tc>
          <w:tcPr>
            <w:tcW w:w="1407" w:type="pct"/>
            <w:shd w:val="clear" w:color="auto" w:fill="auto"/>
          </w:tcPr>
          <w:p w14:paraId="749B8E1F" w14:textId="77777777" w:rsidR="00AC79C4" w:rsidRDefault="00AC79C4" w:rsidP="0037326B">
            <w:pPr>
              <w:pStyle w:val="TableText"/>
              <w:rPr>
                <w:rFonts w:cs="Arial"/>
                <w:szCs w:val="20"/>
              </w:rPr>
            </w:pPr>
            <w:r>
              <w:rPr>
                <w:rFonts w:cs="Arial"/>
                <w:szCs w:val="20"/>
              </w:rPr>
              <w:t xml:space="preserve">When selecting a Deficiency Type for a Deficiency, Prime does not set the Severity to the default value for the selected Deficiency Type. </w:t>
            </w:r>
          </w:p>
        </w:tc>
        <w:tc>
          <w:tcPr>
            <w:tcW w:w="1701" w:type="pct"/>
            <w:shd w:val="clear" w:color="auto" w:fill="auto"/>
          </w:tcPr>
          <w:p w14:paraId="0EA84090" w14:textId="77777777" w:rsidR="00AC79C4" w:rsidRDefault="00AC79C4" w:rsidP="0037326B">
            <w:pPr>
              <w:pStyle w:val="TableText"/>
              <w:rPr>
                <w:rFonts w:cs="Arial"/>
                <w:szCs w:val="20"/>
              </w:rPr>
            </w:pPr>
            <w:r>
              <w:rPr>
                <w:rFonts w:cs="Arial"/>
                <w:szCs w:val="20"/>
              </w:rPr>
              <w:t>Users will need to manually select the appropriate Severity for the Deficiency.</w:t>
            </w:r>
          </w:p>
          <w:p w14:paraId="67C18D2E" w14:textId="77777777" w:rsidR="00AC79C4" w:rsidRDefault="00AC79C4" w:rsidP="0037326B">
            <w:pPr>
              <w:pStyle w:val="TableText"/>
              <w:rPr>
                <w:rFonts w:cs="Arial"/>
                <w:szCs w:val="20"/>
              </w:rPr>
            </w:pPr>
          </w:p>
          <w:p w14:paraId="075218BF" w14:textId="77777777" w:rsidR="00AC79C4" w:rsidRDefault="00AC79C4" w:rsidP="0037326B">
            <w:pPr>
              <w:pStyle w:val="TableText"/>
              <w:rPr>
                <w:rFonts w:cs="Arial"/>
                <w:szCs w:val="20"/>
              </w:rPr>
            </w:pPr>
            <w:r>
              <w:rPr>
                <w:rFonts w:cs="Arial"/>
                <w:szCs w:val="20"/>
              </w:rPr>
              <w:t>This issue has been resolved and will be available in CY19R2.</w:t>
            </w:r>
          </w:p>
        </w:tc>
        <w:tc>
          <w:tcPr>
            <w:tcW w:w="957" w:type="pct"/>
          </w:tcPr>
          <w:p w14:paraId="738C149A" w14:textId="77777777" w:rsidR="00AC79C4" w:rsidRDefault="00AC79C4" w:rsidP="0037326B">
            <w:pPr>
              <w:pStyle w:val="TableText"/>
              <w:rPr>
                <w:rFonts w:cs="Arial"/>
                <w:szCs w:val="20"/>
              </w:rPr>
            </w:pPr>
            <w:r w:rsidRPr="007579AF">
              <w:rPr>
                <w:rFonts w:cs="Arial"/>
                <w:szCs w:val="20"/>
              </w:rPr>
              <w:t>Test Case 39</w:t>
            </w:r>
          </w:p>
        </w:tc>
      </w:tr>
      <w:tr w:rsidR="00AC79C4" w:rsidRPr="007D359B" w14:paraId="2E961369" w14:textId="77777777" w:rsidTr="00276846">
        <w:trPr>
          <w:cantSplit/>
          <w:trHeight w:val="288"/>
          <w:jc w:val="center"/>
        </w:trPr>
        <w:tc>
          <w:tcPr>
            <w:tcW w:w="935" w:type="pct"/>
            <w:shd w:val="clear" w:color="auto" w:fill="auto"/>
            <w:noWrap/>
          </w:tcPr>
          <w:p w14:paraId="5E73032E" w14:textId="77777777" w:rsidR="00AC79C4" w:rsidRDefault="00AC79C4" w:rsidP="0037326B">
            <w:pPr>
              <w:pStyle w:val="TableText"/>
              <w:rPr>
                <w:rFonts w:cs="Arial"/>
                <w:szCs w:val="20"/>
              </w:rPr>
            </w:pPr>
            <w:r>
              <w:rPr>
                <w:rFonts w:cs="Arial"/>
                <w:szCs w:val="20"/>
              </w:rPr>
              <w:t>SP-5623</w:t>
            </w:r>
          </w:p>
        </w:tc>
        <w:tc>
          <w:tcPr>
            <w:tcW w:w="1407" w:type="pct"/>
            <w:shd w:val="clear" w:color="auto" w:fill="auto"/>
          </w:tcPr>
          <w:p w14:paraId="7D4DD446" w14:textId="77777777" w:rsidR="00AC79C4" w:rsidRDefault="00AC79C4" w:rsidP="0037326B">
            <w:pPr>
              <w:pStyle w:val="TableText"/>
              <w:rPr>
                <w:rFonts w:cs="Arial"/>
                <w:szCs w:val="20"/>
              </w:rPr>
            </w:pPr>
            <w:r>
              <w:rPr>
                <w:rFonts w:cs="Arial"/>
                <w:szCs w:val="20"/>
              </w:rPr>
              <w:t>While running Test Case 40, the candidate GWR triggered</w:t>
            </w:r>
            <w:r w:rsidRPr="00EF4CA9">
              <w:rPr>
                <w:rFonts w:cs="Arial"/>
                <w:szCs w:val="20"/>
              </w:rPr>
              <w:t xml:space="preserve"> </w:t>
            </w:r>
            <w:r>
              <w:rPr>
                <w:rFonts w:cs="Arial"/>
                <w:szCs w:val="20"/>
              </w:rPr>
              <w:t xml:space="preserve">monitoring schedules </w:t>
            </w:r>
            <w:r w:rsidRPr="00EF4CA9">
              <w:rPr>
                <w:rFonts w:cs="Arial"/>
                <w:szCs w:val="20"/>
              </w:rPr>
              <w:t xml:space="preserve">generated by BRE </w:t>
            </w:r>
            <w:r>
              <w:rPr>
                <w:rFonts w:cs="Arial"/>
                <w:szCs w:val="20"/>
              </w:rPr>
              <w:t xml:space="preserve">do not display the </w:t>
            </w:r>
            <w:r w:rsidRPr="00EF4CA9">
              <w:rPr>
                <w:rFonts w:cs="Arial"/>
                <w:szCs w:val="20"/>
              </w:rPr>
              <w:t>Originating Sample</w:t>
            </w:r>
            <w:r>
              <w:rPr>
                <w:rFonts w:cs="Arial"/>
                <w:szCs w:val="20"/>
              </w:rPr>
              <w:t xml:space="preserve"> Result</w:t>
            </w:r>
            <w:r w:rsidRPr="00EF4CA9">
              <w:rPr>
                <w:rFonts w:cs="Arial"/>
                <w:szCs w:val="20"/>
              </w:rPr>
              <w:t xml:space="preserve"> as expected.</w:t>
            </w:r>
          </w:p>
        </w:tc>
        <w:tc>
          <w:tcPr>
            <w:tcW w:w="1701" w:type="pct"/>
            <w:shd w:val="clear" w:color="auto" w:fill="auto"/>
          </w:tcPr>
          <w:p w14:paraId="2DD57618" w14:textId="77777777" w:rsidR="00AC79C4" w:rsidRDefault="00AC79C4" w:rsidP="0037326B">
            <w:pPr>
              <w:pStyle w:val="TableText"/>
              <w:rPr>
                <w:rFonts w:cs="Arial"/>
                <w:szCs w:val="20"/>
              </w:rPr>
            </w:pPr>
            <w:r>
              <w:rPr>
                <w:rFonts w:cs="Arial"/>
                <w:szCs w:val="20"/>
              </w:rPr>
              <w:t xml:space="preserve">Users have to click the Originating Sample dropdown to see and select the originating sample. Some users might overlook this information when viewing the candidate triggered monitoring schedule. </w:t>
            </w:r>
          </w:p>
          <w:p w14:paraId="71204983" w14:textId="77777777" w:rsidR="00AC79C4" w:rsidRDefault="00AC79C4" w:rsidP="0037326B">
            <w:pPr>
              <w:pStyle w:val="TableText"/>
              <w:rPr>
                <w:rFonts w:cs="Arial"/>
                <w:szCs w:val="20"/>
              </w:rPr>
            </w:pPr>
          </w:p>
          <w:p w14:paraId="7EB11BC6" w14:textId="77777777" w:rsidR="00AC79C4" w:rsidRDefault="00AC79C4" w:rsidP="00B4031E">
            <w:pPr>
              <w:pStyle w:val="TableText"/>
              <w:rPr>
                <w:rFonts w:cs="Arial"/>
                <w:szCs w:val="20"/>
              </w:rPr>
            </w:pPr>
            <w:r>
              <w:rPr>
                <w:rFonts w:cs="Arial"/>
                <w:szCs w:val="20"/>
              </w:rPr>
              <w:t>This issue has been resolved and will be available in CY19R2. Testing for this issue is needed</w:t>
            </w:r>
            <w:r w:rsidRPr="00B63831">
              <w:rPr>
                <w:rFonts w:cs="Arial"/>
                <w:szCs w:val="20"/>
              </w:rPr>
              <w:t xml:space="preserve"> in Pre-Production. </w:t>
            </w:r>
          </w:p>
        </w:tc>
        <w:tc>
          <w:tcPr>
            <w:tcW w:w="957" w:type="pct"/>
          </w:tcPr>
          <w:p w14:paraId="6B837E6D" w14:textId="77777777" w:rsidR="00AC79C4" w:rsidRDefault="00AC79C4" w:rsidP="0037326B">
            <w:pPr>
              <w:pStyle w:val="TableText"/>
              <w:rPr>
                <w:rFonts w:cs="Arial"/>
                <w:szCs w:val="20"/>
              </w:rPr>
            </w:pPr>
            <w:r>
              <w:rPr>
                <w:rFonts w:cs="Arial"/>
                <w:szCs w:val="20"/>
              </w:rPr>
              <w:t>Test Case 40</w:t>
            </w:r>
          </w:p>
        </w:tc>
      </w:tr>
      <w:tr w:rsidR="00AC79C4" w:rsidRPr="007D359B" w14:paraId="5E8DD0FD" w14:textId="77777777" w:rsidTr="00276846">
        <w:trPr>
          <w:cantSplit/>
          <w:trHeight w:val="288"/>
          <w:jc w:val="center"/>
        </w:trPr>
        <w:tc>
          <w:tcPr>
            <w:tcW w:w="935" w:type="pct"/>
            <w:shd w:val="clear" w:color="auto" w:fill="auto"/>
            <w:noWrap/>
          </w:tcPr>
          <w:p w14:paraId="4E7367B4" w14:textId="77777777" w:rsidR="00AC79C4" w:rsidRDefault="00AC79C4" w:rsidP="00EE5976">
            <w:pPr>
              <w:pStyle w:val="TableText"/>
              <w:rPr>
                <w:rFonts w:cs="Arial"/>
                <w:szCs w:val="20"/>
              </w:rPr>
            </w:pPr>
            <w:r>
              <w:rPr>
                <w:rFonts w:cs="Arial"/>
                <w:szCs w:val="20"/>
              </w:rPr>
              <w:t>SP-5627</w:t>
            </w:r>
          </w:p>
        </w:tc>
        <w:tc>
          <w:tcPr>
            <w:tcW w:w="1407" w:type="pct"/>
            <w:shd w:val="clear" w:color="auto" w:fill="auto"/>
          </w:tcPr>
          <w:p w14:paraId="3C5E45F3" w14:textId="77777777" w:rsidR="00AC79C4" w:rsidRDefault="00AC79C4" w:rsidP="00EE5976">
            <w:pPr>
              <w:pStyle w:val="TableText"/>
              <w:rPr>
                <w:rFonts w:cs="Arial"/>
                <w:szCs w:val="20"/>
              </w:rPr>
            </w:pPr>
            <w:r>
              <w:rPr>
                <w:rFonts w:cs="Arial"/>
                <w:szCs w:val="20"/>
              </w:rPr>
              <w:t xml:space="preserve">In the steps to set up Test Case 32, the </w:t>
            </w:r>
            <w:r w:rsidRPr="00EF4CA9">
              <w:rPr>
                <w:rFonts w:cs="Arial"/>
                <w:szCs w:val="20"/>
              </w:rPr>
              <w:t xml:space="preserve">BRE </w:t>
            </w:r>
            <w:r>
              <w:rPr>
                <w:rFonts w:cs="Arial"/>
                <w:szCs w:val="20"/>
              </w:rPr>
              <w:t>creates</w:t>
            </w:r>
            <w:r w:rsidRPr="00EF4CA9">
              <w:rPr>
                <w:rFonts w:cs="Arial"/>
                <w:szCs w:val="20"/>
              </w:rPr>
              <w:t xml:space="preserve"> </w:t>
            </w:r>
            <w:r>
              <w:rPr>
                <w:rFonts w:cs="Arial"/>
                <w:szCs w:val="20"/>
              </w:rPr>
              <w:t>candidate monitoring schedules referencing both RADR-A and RADR-NPDWR Rule/Analyte Groups. The BRE should only create one that references the RADR-NPDWR Rule/Analyte Group.</w:t>
            </w:r>
          </w:p>
        </w:tc>
        <w:tc>
          <w:tcPr>
            <w:tcW w:w="1701" w:type="pct"/>
            <w:shd w:val="clear" w:color="auto" w:fill="auto"/>
          </w:tcPr>
          <w:p w14:paraId="07AE41CA" w14:textId="77777777" w:rsidR="00AC79C4" w:rsidRDefault="00AC79C4" w:rsidP="00EE5976">
            <w:pPr>
              <w:pStyle w:val="TableText"/>
              <w:rPr>
                <w:rFonts w:cs="Arial"/>
                <w:szCs w:val="20"/>
              </w:rPr>
            </w:pPr>
            <w:r>
              <w:rPr>
                <w:rFonts w:cs="Arial"/>
                <w:szCs w:val="20"/>
              </w:rPr>
              <w:t>This is not a blocker for Test Case 32 but might add some confusion to users as to why the BRE created two candidate monitoring schedules for the same radionuclide analyte.</w:t>
            </w:r>
          </w:p>
          <w:p w14:paraId="431E92F0" w14:textId="77777777" w:rsidR="00AC79C4" w:rsidRDefault="00AC79C4" w:rsidP="00EE5976">
            <w:pPr>
              <w:pStyle w:val="TableText"/>
              <w:rPr>
                <w:rFonts w:cs="Arial"/>
                <w:szCs w:val="20"/>
              </w:rPr>
            </w:pPr>
          </w:p>
          <w:p w14:paraId="06F7CFA4" w14:textId="77777777" w:rsidR="00AC79C4" w:rsidRDefault="00AC79C4" w:rsidP="00EE5976">
            <w:pPr>
              <w:pStyle w:val="TableText"/>
              <w:rPr>
                <w:rFonts w:cs="Arial"/>
                <w:szCs w:val="20"/>
              </w:rPr>
            </w:pPr>
            <w:r>
              <w:rPr>
                <w:rFonts w:cs="Arial"/>
                <w:szCs w:val="20"/>
              </w:rPr>
              <w:t>This issue has been resolved and will be released in CY19R2.</w:t>
            </w:r>
          </w:p>
        </w:tc>
        <w:tc>
          <w:tcPr>
            <w:tcW w:w="957" w:type="pct"/>
          </w:tcPr>
          <w:p w14:paraId="6BE580DF" w14:textId="77777777" w:rsidR="00AC79C4" w:rsidRDefault="00AC79C4" w:rsidP="00EE5976">
            <w:pPr>
              <w:pStyle w:val="TableText"/>
              <w:rPr>
                <w:rFonts w:cs="Arial"/>
                <w:szCs w:val="20"/>
              </w:rPr>
            </w:pPr>
            <w:r w:rsidRPr="007579AF">
              <w:t>Found testing Test Case 3</w:t>
            </w:r>
            <w:r>
              <w:t>2, but doesn’t impact the expected outcomes of the test case</w:t>
            </w:r>
          </w:p>
        </w:tc>
      </w:tr>
      <w:tr w:rsidR="00AC79C4" w:rsidRPr="007D359B" w14:paraId="0267B53A" w14:textId="77777777" w:rsidTr="00276846">
        <w:trPr>
          <w:cantSplit/>
          <w:trHeight w:val="288"/>
          <w:jc w:val="center"/>
        </w:trPr>
        <w:tc>
          <w:tcPr>
            <w:tcW w:w="935" w:type="pct"/>
            <w:shd w:val="clear" w:color="auto" w:fill="auto"/>
            <w:noWrap/>
          </w:tcPr>
          <w:p w14:paraId="01975BFF" w14:textId="77777777" w:rsidR="00AC79C4" w:rsidRDefault="00AC79C4" w:rsidP="0037326B">
            <w:pPr>
              <w:pStyle w:val="TableText"/>
              <w:rPr>
                <w:rFonts w:cs="Arial"/>
                <w:szCs w:val="20"/>
              </w:rPr>
            </w:pPr>
            <w:r>
              <w:rPr>
                <w:rFonts w:cs="Arial"/>
                <w:szCs w:val="20"/>
              </w:rPr>
              <w:t>SP-5691</w:t>
            </w:r>
          </w:p>
        </w:tc>
        <w:tc>
          <w:tcPr>
            <w:tcW w:w="1407" w:type="pct"/>
            <w:shd w:val="clear" w:color="auto" w:fill="auto"/>
          </w:tcPr>
          <w:p w14:paraId="26B0F033" w14:textId="77777777" w:rsidR="00AC79C4" w:rsidRDefault="00AC79C4" w:rsidP="0037326B">
            <w:pPr>
              <w:pStyle w:val="TableText"/>
              <w:rPr>
                <w:rFonts w:cs="Arial"/>
                <w:szCs w:val="20"/>
              </w:rPr>
            </w:pPr>
            <w:r>
              <w:rPr>
                <w:rFonts w:cs="Arial"/>
                <w:szCs w:val="20"/>
              </w:rPr>
              <w:t>When entering samples and you need to reference an original sample (e.g. repeat samples), t</w:t>
            </w:r>
            <w:r w:rsidRPr="00EC7725">
              <w:rPr>
                <w:rFonts w:cs="Arial"/>
                <w:szCs w:val="20"/>
              </w:rPr>
              <w:t>he Original Sample dropdown for a Microbial sample erroneously displays the same sample twice if it has both a 3100 and a 3014 result</w:t>
            </w:r>
            <w:r>
              <w:rPr>
                <w:rFonts w:cs="Arial"/>
                <w:szCs w:val="20"/>
              </w:rPr>
              <w:t>.</w:t>
            </w:r>
          </w:p>
        </w:tc>
        <w:tc>
          <w:tcPr>
            <w:tcW w:w="1701" w:type="pct"/>
            <w:shd w:val="clear" w:color="auto" w:fill="auto"/>
          </w:tcPr>
          <w:p w14:paraId="6CFB8E98" w14:textId="77777777" w:rsidR="00AC79C4" w:rsidRDefault="00AC79C4" w:rsidP="0037326B">
            <w:pPr>
              <w:pStyle w:val="TableText"/>
              <w:rPr>
                <w:rFonts w:cs="Arial"/>
                <w:szCs w:val="20"/>
              </w:rPr>
            </w:pPr>
            <w:r>
              <w:rPr>
                <w:rFonts w:cs="Arial"/>
                <w:szCs w:val="20"/>
              </w:rPr>
              <w:t>No impact.</w:t>
            </w:r>
          </w:p>
        </w:tc>
        <w:tc>
          <w:tcPr>
            <w:tcW w:w="957" w:type="pct"/>
          </w:tcPr>
          <w:p w14:paraId="099A6029" w14:textId="77777777" w:rsidR="00AC79C4" w:rsidRDefault="00AC79C4" w:rsidP="0037326B">
            <w:pPr>
              <w:pStyle w:val="TableText"/>
              <w:rPr>
                <w:rFonts w:cs="Arial"/>
                <w:szCs w:val="20"/>
              </w:rPr>
            </w:pPr>
            <w:r>
              <w:rPr>
                <w:rFonts w:cs="Arial"/>
                <w:szCs w:val="20"/>
              </w:rPr>
              <w:t>No test cases impacted</w:t>
            </w:r>
          </w:p>
        </w:tc>
      </w:tr>
      <w:tr w:rsidR="00AC79C4" w:rsidRPr="007D359B" w14:paraId="172785B7" w14:textId="77777777" w:rsidTr="00276846">
        <w:trPr>
          <w:cantSplit/>
          <w:trHeight w:val="288"/>
          <w:jc w:val="center"/>
        </w:trPr>
        <w:tc>
          <w:tcPr>
            <w:tcW w:w="935" w:type="pct"/>
            <w:shd w:val="clear" w:color="auto" w:fill="auto"/>
            <w:noWrap/>
          </w:tcPr>
          <w:p w14:paraId="5FA02B9D" w14:textId="77777777" w:rsidR="00AC79C4" w:rsidRDefault="00AC79C4" w:rsidP="00EE5976">
            <w:pPr>
              <w:pStyle w:val="TableText"/>
              <w:rPr>
                <w:rFonts w:cs="Arial"/>
                <w:szCs w:val="20"/>
              </w:rPr>
            </w:pPr>
            <w:r>
              <w:rPr>
                <w:rFonts w:cs="Arial"/>
                <w:szCs w:val="20"/>
              </w:rPr>
              <w:lastRenderedPageBreak/>
              <w:t>SP-5706</w:t>
            </w:r>
          </w:p>
        </w:tc>
        <w:tc>
          <w:tcPr>
            <w:tcW w:w="1407" w:type="pct"/>
            <w:shd w:val="clear" w:color="auto" w:fill="auto"/>
          </w:tcPr>
          <w:p w14:paraId="1EB6130F" w14:textId="77777777" w:rsidR="00AC79C4" w:rsidRDefault="00AC79C4" w:rsidP="00EE5976">
            <w:pPr>
              <w:pStyle w:val="TableText"/>
              <w:rPr>
                <w:rFonts w:cs="Arial"/>
                <w:szCs w:val="20"/>
              </w:rPr>
            </w:pPr>
            <w:r>
              <w:rPr>
                <w:rFonts w:cs="Arial"/>
                <w:szCs w:val="20"/>
              </w:rPr>
              <w:t>The deficiency template used in system administration to upload state-specific deficiency types is missing instructions</w:t>
            </w:r>
          </w:p>
        </w:tc>
        <w:tc>
          <w:tcPr>
            <w:tcW w:w="1701" w:type="pct"/>
            <w:shd w:val="clear" w:color="auto" w:fill="auto"/>
          </w:tcPr>
          <w:p w14:paraId="4A05FBF1" w14:textId="77777777" w:rsidR="00AC79C4" w:rsidRDefault="00AC79C4" w:rsidP="00EE5976">
            <w:pPr>
              <w:pStyle w:val="TableText"/>
              <w:rPr>
                <w:rFonts w:cs="Arial"/>
                <w:szCs w:val="20"/>
              </w:rPr>
            </w:pPr>
            <w:r>
              <w:rPr>
                <w:rFonts w:cs="Arial"/>
                <w:szCs w:val="20"/>
              </w:rPr>
              <w:t>Users will not have instructions on how to populate the deficiency template and this might result in data entry errors.</w:t>
            </w:r>
          </w:p>
          <w:p w14:paraId="629F300E" w14:textId="77777777" w:rsidR="00AC79C4" w:rsidRDefault="00AC79C4" w:rsidP="00EE5976">
            <w:pPr>
              <w:pStyle w:val="TableText"/>
              <w:rPr>
                <w:rFonts w:cs="Arial"/>
                <w:szCs w:val="20"/>
              </w:rPr>
            </w:pPr>
          </w:p>
          <w:p w14:paraId="10036B52" w14:textId="77777777" w:rsidR="00AC79C4" w:rsidRDefault="00AC79C4" w:rsidP="00EE5976">
            <w:pPr>
              <w:pStyle w:val="TableText"/>
              <w:rPr>
                <w:rFonts w:cs="Arial"/>
                <w:szCs w:val="20"/>
              </w:rPr>
            </w:pPr>
            <w:r>
              <w:rPr>
                <w:rFonts w:cs="Arial"/>
                <w:szCs w:val="20"/>
              </w:rPr>
              <w:t>This issue has been resolved and will be released in CY19R2.</w:t>
            </w:r>
          </w:p>
        </w:tc>
        <w:tc>
          <w:tcPr>
            <w:tcW w:w="957" w:type="pct"/>
          </w:tcPr>
          <w:p w14:paraId="6E38E148" w14:textId="77777777" w:rsidR="00AC79C4" w:rsidRDefault="00AC79C4" w:rsidP="00EE5976">
            <w:pPr>
              <w:pStyle w:val="TableText"/>
              <w:rPr>
                <w:rFonts w:cs="Arial"/>
                <w:szCs w:val="20"/>
              </w:rPr>
            </w:pPr>
            <w:r w:rsidRPr="007579AF">
              <w:t>Found testing Test Case 3</w:t>
            </w:r>
            <w:r>
              <w:t>9, but doesn’t impact the expected outcomes of the test case</w:t>
            </w:r>
          </w:p>
        </w:tc>
      </w:tr>
      <w:tr w:rsidR="00AC79C4" w:rsidRPr="007D359B" w14:paraId="23208C4F" w14:textId="77777777" w:rsidTr="00276846">
        <w:trPr>
          <w:cantSplit/>
          <w:trHeight w:val="288"/>
          <w:jc w:val="center"/>
        </w:trPr>
        <w:tc>
          <w:tcPr>
            <w:tcW w:w="935" w:type="pct"/>
            <w:shd w:val="clear" w:color="auto" w:fill="auto"/>
            <w:noWrap/>
          </w:tcPr>
          <w:p w14:paraId="62416903" w14:textId="77777777" w:rsidR="00AC79C4" w:rsidRDefault="00AC79C4" w:rsidP="0037326B">
            <w:pPr>
              <w:pStyle w:val="TableText"/>
              <w:rPr>
                <w:rFonts w:cs="Arial"/>
                <w:szCs w:val="20"/>
              </w:rPr>
            </w:pPr>
            <w:r>
              <w:rPr>
                <w:rFonts w:cs="Arial"/>
                <w:szCs w:val="20"/>
              </w:rPr>
              <w:t>SP-5720</w:t>
            </w:r>
          </w:p>
        </w:tc>
        <w:tc>
          <w:tcPr>
            <w:tcW w:w="1407" w:type="pct"/>
            <w:shd w:val="clear" w:color="auto" w:fill="auto"/>
          </w:tcPr>
          <w:p w14:paraId="02668663" w14:textId="77777777" w:rsidR="00AC79C4" w:rsidRDefault="00AC79C4" w:rsidP="0037326B">
            <w:pPr>
              <w:pStyle w:val="TableText"/>
              <w:rPr>
                <w:rFonts w:cs="Arial"/>
                <w:szCs w:val="20"/>
              </w:rPr>
            </w:pPr>
            <w:r>
              <w:rPr>
                <w:rFonts w:cs="Arial"/>
                <w:szCs w:val="20"/>
              </w:rPr>
              <w:t>In Test Case 7c, ID field for the associated event in the Scheduled Activities module is not displayed</w:t>
            </w:r>
          </w:p>
        </w:tc>
        <w:tc>
          <w:tcPr>
            <w:tcW w:w="1701" w:type="pct"/>
            <w:shd w:val="clear" w:color="auto" w:fill="auto"/>
          </w:tcPr>
          <w:p w14:paraId="323E45D4" w14:textId="77777777" w:rsidR="00AC79C4" w:rsidRPr="00493B04" w:rsidRDefault="00AC79C4" w:rsidP="00493B04">
            <w:pPr>
              <w:pStyle w:val="TableText"/>
              <w:rPr>
                <w:rFonts w:cs="Arial"/>
                <w:szCs w:val="20"/>
              </w:rPr>
            </w:pPr>
            <w:r>
              <w:rPr>
                <w:rFonts w:cs="Arial"/>
                <w:szCs w:val="20"/>
              </w:rPr>
              <w:t xml:space="preserve">User will not see the reference to the monitoring schedule and monitoring period in the Scheduled Activity created by the BRE. </w:t>
            </w:r>
          </w:p>
          <w:p w14:paraId="1A09A2E6" w14:textId="77777777" w:rsidR="00AC79C4" w:rsidRDefault="00AC79C4" w:rsidP="0037326B">
            <w:pPr>
              <w:pStyle w:val="TableText"/>
              <w:rPr>
                <w:rFonts w:cs="Arial"/>
                <w:szCs w:val="20"/>
              </w:rPr>
            </w:pPr>
          </w:p>
          <w:p w14:paraId="7EBB039A" w14:textId="77777777" w:rsidR="00AC79C4" w:rsidRDefault="00AC79C4" w:rsidP="0037326B">
            <w:pPr>
              <w:pStyle w:val="TableText"/>
              <w:rPr>
                <w:rFonts w:cs="Arial"/>
                <w:szCs w:val="20"/>
              </w:rPr>
            </w:pPr>
            <w:r>
              <w:rPr>
                <w:rFonts w:cs="Arial"/>
                <w:szCs w:val="20"/>
              </w:rPr>
              <w:t>This issue will be addressed in CY19R3.</w:t>
            </w:r>
          </w:p>
        </w:tc>
        <w:tc>
          <w:tcPr>
            <w:tcW w:w="957" w:type="pct"/>
          </w:tcPr>
          <w:p w14:paraId="67863808" w14:textId="77777777" w:rsidR="00AC79C4" w:rsidRDefault="00AC79C4" w:rsidP="00493B04">
            <w:pPr>
              <w:pStyle w:val="TableText"/>
              <w:rPr>
                <w:rFonts w:cs="Arial"/>
                <w:szCs w:val="20"/>
              </w:rPr>
            </w:pPr>
            <w:r>
              <w:rPr>
                <w:rFonts w:cs="Arial"/>
                <w:szCs w:val="20"/>
              </w:rPr>
              <w:t>Test Case 7c.</w:t>
            </w:r>
          </w:p>
        </w:tc>
      </w:tr>
      <w:tr w:rsidR="00AC79C4" w:rsidRPr="007D359B" w14:paraId="0184098D" w14:textId="77777777" w:rsidTr="00276846">
        <w:trPr>
          <w:cantSplit/>
          <w:trHeight w:val="134"/>
          <w:jc w:val="center"/>
        </w:trPr>
        <w:tc>
          <w:tcPr>
            <w:tcW w:w="935" w:type="pct"/>
            <w:shd w:val="clear" w:color="auto" w:fill="auto"/>
            <w:noWrap/>
          </w:tcPr>
          <w:p w14:paraId="32B380C7" w14:textId="77777777" w:rsidR="00AC79C4" w:rsidRDefault="00AC79C4" w:rsidP="0037326B">
            <w:pPr>
              <w:pStyle w:val="TableText"/>
              <w:rPr>
                <w:rFonts w:cs="Arial"/>
                <w:szCs w:val="20"/>
              </w:rPr>
            </w:pPr>
            <w:r w:rsidRPr="009937A9">
              <w:t>SP-5788</w:t>
            </w:r>
          </w:p>
        </w:tc>
        <w:tc>
          <w:tcPr>
            <w:tcW w:w="1407" w:type="pct"/>
            <w:shd w:val="clear" w:color="auto" w:fill="auto"/>
          </w:tcPr>
          <w:p w14:paraId="2B60101C" w14:textId="77777777" w:rsidR="00AC79C4" w:rsidRDefault="00AC79C4" w:rsidP="0037326B">
            <w:pPr>
              <w:pStyle w:val="TableText"/>
              <w:rPr>
                <w:rFonts w:cs="Arial"/>
                <w:szCs w:val="20"/>
              </w:rPr>
            </w:pPr>
            <w:r w:rsidRPr="009937A9">
              <w:t>Test Case 38a issue: Incorrect validation prevents adding multiple analytes to an analyte group</w:t>
            </w:r>
            <w:r>
              <w:t xml:space="preserve">. </w:t>
            </w:r>
          </w:p>
        </w:tc>
        <w:tc>
          <w:tcPr>
            <w:tcW w:w="1701" w:type="pct"/>
            <w:shd w:val="clear" w:color="auto" w:fill="auto"/>
          </w:tcPr>
          <w:p w14:paraId="1F56D665" w14:textId="77777777" w:rsidR="00AC79C4" w:rsidRDefault="00AC79C4" w:rsidP="0037326B">
            <w:pPr>
              <w:pStyle w:val="TableText"/>
            </w:pPr>
            <w:r w:rsidRPr="009937A9">
              <w:t>Users will only be able to add one analyte to the custom analyte group</w:t>
            </w:r>
            <w:r>
              <w:t>.</w:t>
            </w:r>
          </w:p>
          <w:p w14:paraId="616B9A76" w14:textId="77777777" w:rsidR="00AC79C4" w:rsidRDefault="00AC79C4" w:rsidP="0037326B">
            <w:pPr>
              <w:pStyle w:val="TableText"/>
            </w:pPr>
          </w:p>
          <w:p w14:paraId="78117C6D" w14:textId="77777777" w:rsidR="00AC79C4" w:rsidRDefault="00AC79C4" w:rsidP="0037326B">
            <w:pPr>
              <w:pStyle w:val="TableText"/>
              <w:rPr>
                <w:rFonts w:cs="Arial"/>
                <w:szCs w:val="20"/>
              </w:rPr>
            </w:pPr>
            <w:r>
              <w:t>This issue has been resolved and will be available in CY19R2.</w:t>
            </w:r>
          </w:p>
        </w:tc>
        <w:tc>
          <w:tcPr>
            <w:tcW w:w="957" w:type="pct"/>
          </w:tcPr>
          <w:p w14:paraId="51DF6073" w14:textId="77777777" w:rsidR="00AC79C4" w:rsidRPr="009937A9" w:rsidRDefault="00AC79C4" w:rsidP="0037326B">
            <w:pPr>
              <w:pStyle w:val="TableText"/>
            </w:pPr>
            <w:r>
              <w:t>Test Case 38a</w:t>
            </w:r>
          </w:p>
        </w:tc>
      </w:tr>
      <w:tr w:rsidR="00AC79C4" w:rsidRPr="007D359B" w14:paraId="43F97A5E" w14:textId="77777777" w:rsidTr="00276846">
        <w:trPr>
          <w:cantSplit/>
          <w:trHeight w:val="602"/>
          <w:jc w:val="center"/>
        </w:trPr>
        <w:tc>
          <w:tcPr>
            <w:tcW w:w="935" w:type="pct"/>
            <w:shd w:val="clear" w:color="auto" w:fill="auto"/>
            <w:noWrap/>
          </w:tcPr>
          <w:p w14:paraId="416F1DAB" w14:textId="77777777" w:rsidR="00AC79C4" w:rsidRDefault="00AC79C4" w:rsidP="0037326B">
            <w:pPr>
              <w:pStyle w:val="TableText"/>
            </w:pPr>
            <w:r>
              <w:t>SP-5789</w:t>
            </w:r>
          </w:p>
        </w:tc>
        <w:tc>
          <w:tcPr>
            <w:tcW w:w="1407" w:type="pct"/>
            <w:shd w:val="clear" w:color="auto" w:fill="auto"/>
          </w:tcPr>
          <w:p w14:paraId="5ED212D8" w14:textId="77777777" w:rsidR="00AC79C4" w:rsidRPr="007D359B" w:rsidRDefault="00AC79C4" w:rsidP="000D12F6">
            <w:pPr>
              <w:pStyle w:val="TableText"/>
            </w:pPr>
            <w:r>
              <w:t>Changes to maintaining deficiencies - “I cannot delete a deficiency once added.”</w:t>
            </w:r>
          </w:p>
        </w:tc>
        <w:tc>
          <w:tcPr>
            <w:tcW w:w="1701" w:type="pct"/>
          </w:tcPr>
          <w:p w14:paraId="3C29D916" w14:textId="77777777" w:rsidR="00AC79C4" w:rsidRDefault="00AC79C4" w:rsidP="0037326B">
            <w:pPr>
              <w:pStyle w:val="TableText"/>
            </w:pPr>
            <w:r>
              <w:t>Users will not be able to delete a deficiency that they created. There is currently no work around.</w:t>
            </w:r>
          </w:p>
          <w:p w14:paraId="2C79FB0F" w14:textId="77777777" w:rsidR="00AC79C4" w:rsidRDefault="00AC79C4" w:rsidP="0037326B">
            <w:pPr>
              <w:pStyle w:val="TableText"/>
            </w:pPr>
          </w:p>
          <w:p w14:paraId="5EA12EA9" w14:textId="77777777" w:rsidR="00AC79C4" w:rsidRPr="007D359B" w:rsidRDefault="00AC79C4" w:rsidP="0037326B">
            <w:pPr>
              <w:pStyle w:val="TableText"/>
            </w:pPr>
            <w:r>
              <w:t>This issue will be addressed in CY19R3.</w:t>
            </w:r>
          </w:p>
        </w:tc>
        <w:tc>
          <w:tcPr>
            <w:tcW w:w="957" w:type="pct"/>
          </w:tcPr>
          <w:p w14:paraId="6887FCC8" w14:textId="77777777" w:rsidR="00AC79C4" w:rsidRDefault="00AC79C4" w:rsidP="00455A11">
            <w:pPr>
              <w:pStyle w:val="TableText"/>
            </w:pPr>
            <w:r>
              <w:rPr>
                <w:rFonts w:cs="Arial"/>
                <w:szCs w:val="20"/>
              </w:rPr>
              <w:t>Found testing Test Case 39, but doesn’t impact the expected outcomes of the test case</w:t>
            </w:r>
          </w:p>
        </w:tc>
      </w:tr>
      <w:tr w:rsidR="00AC79C4" w:rsidRPr="007D359B" w14:paraId="0AD56639" w14:textId="77777777" w:rsidTr="00276846">
        <w:trPr>
          <w:cantSplit/>
          <w:trHeight w:val="134"/>
          <w:jc w:val="center"/>
        </w:trPr>
        <w:tc>
          <w:tcPr>
            <w:tcW w:w="935" w:type="pct"/>
            <w:shd w:val="clear" w:color="auto" w:fill="auto"/>
            <w:noWrap/>
          </w:tcPr>
          <w:p w14:paraId="54D84FB3" w14:textId="77777777" w:rsidR="00AC79C4" w:rsidRDefault="00AC79C4" w:rsidP="00BC1F28">
            <w:pPr>
              <w:pStyle w:val="TableText"/>
              <w:rPr>
                <w:rFonts w:cs="Arial"/>
                <w:szCs w:val="20"/>
              </w:rPr>
            </w:pPr>
            <w:r>
              <w:rPr>
                <w:rFonts w:cs="Arial"/>
                <w:szCs w:val="20"/>
              </w:rPr>
              <w:t>SP-5874</w:t>
            </w:r>
          </w:p>
        </w:tc>
        <w:tc>
          <w:tcPr>
            <w:tcW w:w="1407" w:type="pct"/>
            <w:shd w:val="clear" w:color="auto" w:fill="auto"/>
          </w:tcPr>
          <w:p w14:paraId="097660EB" w14:textId="77777777" w:rsidR="00AC79C4" w:rsidRDefault="00AC79C4" w:rsidP="00BC1F28">
            <w:pPr>
              <w:pStyle w:val="TableText"/>
              <w:rPr>
                <w:rFonts w:cs="Arial"/>
                <w:szCs w:val="20"/>
              </w:rPr>
            </w:pPr>
            <w:r>
              <w:rPr>
                <w:rFonts w:cs="Arial"/>
                <w:szCs w:val="20"/>
              </w:rPr>
              <w:t>Water System Inventory Slow Performance when opening a large water system.</w:t>
            </w:r>
          </w:p>
        </w:tc>
        <w:tc>
          <w:tcPr>
            <w:tcW w:w="1701" w:type="pct"/>
            <w:shd w:val="clear" w:color="auto" w:fill="auto"/>
          </w:tcPr>
          <w:p w14:paraId="1D70D783" w14:textId="77777777" w:rsidR="00AC79C4" w:rsidRDefault="00AC79C4" w:rsidP="00BC1F28">
            <w:pPr>
              <w:pStyle w:val="TableText"/>
              <w:rPr>
                <w:rFonts w:cs="Arial"/>
                <w:szCs w:val="20"/>
              </w:rPr>
            </w:pPr>
            <w:r>
              <w:rPr>
                <w:rFonts w:cs="Arial"/>
                <w:szCs w:val="20"/>
              </w:rPr>
              <w:t xml:space="preserve">Based on testing in the RTE, for large water systems, users might experience the application taking a longer than expected amount of time to display the water system summary. </w:t>
            </w:r>
          </w:p>
          <w:p w14:paraId="0D0882A7" w14:textId="77777777" w:rsidR="00AC79C4" w:rsidRDefault="00AC79C4" w:rsidP="00BC1F28">
            <w:pPr>
              <w:pStyle w:val="TableText"/>
              <w:rPr>
                <w:rFonts w:cs="Arial"/>
                <w:szCs w:val="20"/>
              </w:rPr>
            </w:pPr>
          </w:p>
          <w:p w14:paraId="1A88EDC7" w14:textId="77777777" w:rsidR="00AC79C4" w:rsidRDefault="00AC79C4" w:rsidP="00BC1F28">
            <w:pPr>
              <w:pStyle w:val="TableText"/>
              <w:rPr>
                <w:rFonts w:cs="Arial"/>
                <w:szCs w:val="20"/>
              </w:rPr>
            </w:pPr>
            <w:r>
              <w:rPr>
                <w:rFonts w:cs="Arial"/>
                <w:szCs w:val="20"/>
              </w:rPr>
              <w:t xml:space="preserve">This issue will be addressed in CY19R3. </w:t>
            </w:r>
          </w:p>
        </w:tc>
        <w:tc>
          <w:tcPr>
            <w:tcW w:w="957" w:type="pct"/>
          </w:tcPr>
          <w:p w14:paraId="1216AC1C" w14:textId="77777777" w:rsidR="00AC79C4" w:rsidRPr="00B1597E" w:rsidRDefault="00AC79C4" w:rsidP="00455A11">
            <w:r>
              <w:rPr>
                <w:rFonts w:ascii="Arial" w:hAnsi="Arial" w:cs="Arial"/>
                <w:bCs/>
                <w:sz w:val="20"/>
                <w:szCs w:val="20"/>
              </w:rPr>
              <w:t>Found when opening a large water system, but doesn’t impact the expected results of any test cases</w:t>
            </w:r>
          </w:p>
        </w:tc>
      </w:tr>
      <w:tr w:rsidR="00AC79C4" w:rsidRPr="007D359B" w14:paraId="11C06989" w14:textId="77777777" w:rsidTr="00276846">
        <w:trPr>
          <w:cantSplit/>
          <w:trHeight w:val="602"/>
          <w:jc w:val="center"/>
        </w:trPr>
        <w:tc>
          <w:tcPr>
            <w:tcW w:w="935" w:type="pct"/>
            <w:shd w:val="clear" w:color="auto" w:fill="auto"/>
            <w:noWrap/>
          </w:tcPr>
          <w:p w14:paraId="37BF4717" w14:textId="77777777" w:rsidR="00AC79C4" w:rsidRDefault="00AC79C4" w:rsidP="0037326B">
            <w:pPr>
              <w:pStyle w:val="TableText"/>
            </w:pPr>
            <w:r>
              <w:t>SP-5878</w:t>
            </w:r>
          </w:p>
        </w:tc>
        <w:tc>
          <w:tcPr>
            <w:tcW w:w="1407" w:type="pct"/>
            <w:shd w:val="clear" w:color="auto" w:fill="auto"/>
          </w:tcPr>
          <w:p w14:paraId="4017018A" w14:textId="77777777" w:rsidR="00AC79C4" w:rsidRPr="007D359B" w:rsidRDefault="00AC79C4" w:rsidP="000D12F6">
            <w:pPr>
              <w:pStyle w:val="TableText"/>
            </w:pPr>
            <w:r>
              <w:t>Deficiency, changes to Deficiency Grid – “Deficiencies do not show up in the Deficiency list using the task picker if there is not facility associated to it. Deficiencies are not required to be linked to a facility.”</w:t>
            </w:r>
          </w:p>
        </w:tc>
        <w:tc>
          <w:tcPr>
            <w:tcW w:w="1701" w:type="pct"/>
          </w:tcPr>
          <w:p w14:paraId="4DA2F036" w14:textId="77777777" w:rsidR="00AC79C4" w:rsidRDefault="00AC79C4" w:rsidP="00303712">
            <w:pPr>
              <w:pStyle w:val="TableText"/>
            </w:pPr>
            <w:r>
              <w:t>In the Deficiencies grid, users will not be able to view a deficiency record that doesn’t have a Facility associated with it.</w:t>
            </w:r>
          </w:p>
          <w:p w14:paraId="7EE622BA" w14:textId="77777777" w:rsidR="00AC79C4" w:rsidRDefault="00AC79C4" w:rsidP="00303712">
            <w:pPr>
              <w:pStyle w:val="TableText"/>
            </w:pPr>
          </w:p>
          <w:p w14:paraId="5DCF34FA" w14:textId="77777777" w:rsidR="00AC79C4" w:rsidRDefault="00AC79C4" w:rsidP="00303712">
            <w:pPr>
              <w:pStyle w:val="TableText"/>
            </w:pPr>
            <w:r>
              <w:t>The work around is to select a Facility when creating or editing a deficiency. ‘</w:t>
            </w:r>
          </w:p>
          <w:p w14:paraId="71303AF3" w14:textId="77777777" w:rsidR="00AC79C4" w:rsidRPr="007D359B" w:rsidRDefault="00AC79C4" w:rsidP="00B56072">
            <w:pPr>
              <w:pStyle w:val="TableText"/>
            </w:pPr>
            <w:r>
              <w:t>This issue has been resolved and will be released in CY19R2.</w:t>
            </w:r>
          </w:p>
        </w:tc>
        <w:tc>
          <w:tcPr>
            <w:tcW w:w="957" w:type="pct"/>
          </w:tcPr>
          <w:p w14:paraId="62527E34" w14:textId="77777777" w:rsidR="00AC79C4" w:rsidRDefault="00AC79C4" w:rsidP="00455A11">
            <w:pPr>
              <w:pStyle w:val="TableText"/>
            </w:pPr>
            <w:r>
              <w:rPr>
                <w:rFonts w:cs="Arial"/>
                <w:szCs w:val="20"/>
              </w:rPr>
              <w:t>Found testing Test Case 39, but doesn’t impact the expected outcomes of the test case</w:t>
            </w:r>
          </w:p>
        </w:tc>
      </w:tr>
      <w:tr w:rsidR="00AC79C4" w:rsidRPr="007D359B" w14:paraId="4F2DD4FA" w14:textId="77777777" w:rsidTr="00276846">
        <w:trPr>
          <w:cantSplit/>
          <w:trHeight w:val="602"/>
          <w:jc w:val="center"/>
        </w:trPr>
        <w:tc>
          <w:tcPr>
            <w:tcW w:w="935" w:type="pct"/>
            <w:shd w:val="clear" w:color="auto" w:fill="auto"/>
            <w:noWrap/>
            <w:hideMark/>
          </w:tcPr>
          <w:p w14:paraId="1D9D5BAD" w14:textId="77777777" w:rsidR="00AC79C4" w:rsidRPr="007D359B" w:rsidRDefault="00AC79C4" w:rsidP="0037326B">
            <w:pPr>
              <w:pStyle w:val="TableText"/>
            </w:pPr>
            <w:r>
              <w:lastRenderedPageBreak/>
              <w:t>SP-5955</w:t>
            </w:r>
          </w:p>
        </w:tc>
        <w:tc>
          <w:tcPr>
            <w:tcW w:w="1407" w:type="pct"/>
            <w:shd w:val="clear" w:color="auto" w:fill="auto"/>
            <w:hideMark/>
          </w:tcPr>
          <w:p w14:paraId="38D2CA73" w14:textId="77777777" w:rsidR="00AC79C4" w:rsidRPr="007D359B" w:rsidRDefault="00AC79C4" w:rsidP="0037326B">
            <w:pPr>
              <w:pStyle w:val="TableText"/>
            </w:pPr>
            <w:r>
              <w:t>Deficiency, changes to maintaining deficiencies – “If I change a deficiency’s severity, the corresponding Element Evaluation Summary category doesn't get updated”</w:t>
            </w:r>
          </w:p>
        </w:tc>
        <w:tc>
          <w:tcPr>
            <w:tcW w:w="1701" w:type="pct"/>
          </w:tcPr>
          <w:p w14:paraId="09AD6603" w14:textId="77777777" w:rsidR="00AC79C4" w:rsidRDefault="00AC79C4" w:rsidP="0037326B">
            <w:pPr>
              <w:pStyle w:val="TableText"/>
            </w:pPr>
            <w:r>
              <w:t>Users will not see the correct values for the Element Evaluation Summary categories. There is currently no work around.</w:t>
            </w:r>
          </w:p>
          <w:p w14:paraId="5C2F3876" w14:textId="77777777" w:rsidR="00AC79C4" w:rsidRDefault="00AC79C4" w:rsidP="0037326B">
            <w:pPr>
              <w:pStyle w:val="TableText"/>
            </w:pPr>
          </w:p>
          <w:p w14:paraId="1A95E9A0" w14:textId="77777777" w:rsidR="00AC79C4" w:rsidRPr="007D359B" w:rsidRDefault="00AC79C4" w:rsidP="0037326B">
            <w:pPr>
              <w:pStyle w:val="TableText"/>
            </w:pPr>
            <w:r>
              <w:t>This issue will be addressed in CY19R3.</w:t>
            </w:r>
          </w:p>
        </w:tc>
        <w:tc>
          <w:tcPr>
            <w:tcW w:w="957" w:type="pct"/>
          </w:tcPr>
          <w:p w14:paraId="0430620A" w14:textId="77777777" w:rsidR="00AC79C4" w:rsidRDefault="00AC79C4" w:rsidP="00455A11">
            <w:pPr>
              <w:pStyle w:val="TableText"/>
            </w:pPr>
            <w:r>
              <w:rPr>
                <w:rFonts w:cs="Arial"/>
                <w:szCs w:val="20"/>
              </w:rPr>
              <w:t>Found testing Test Case 39, but doesn’t impact the expected outcomes of the test case</w:t>
            </w:r>
          </w:p>
        </w:tc>
      </w:tr>
      <w:tr w:rsidR="00AC79C4" w:rsidRPr="007D359B" w14:paraId="4E6B91A1" w14:textId="77777777" w:rsidTr="00276846">
        <w:trPr>
          <w:cantSplit/>
          <w:trHeight w:val="602"/>
          <w:jc w:val="center"/>
        </w:trPr>
        <w:tc>
          <w:tcPr>
            <w:tcW w:w="935" w:type="pct"/>
            <w:shd w:val="clear" w:color="auto" w:fill="auto"/>
            <w:noWrap/>
          </w:tcPr>
          <w:p w14:paraId="2C504F44" w14:textId="77777777" w:rsidR="00AC79C4" w:rsidRDefault="00AC79C4" w:rsidP="0037326B">
            <w:pPr>
              <w:pStyle w:val="TableText"/>
            </w:pPr>
            <w:r>
              <w:t>SP-5956</w:t>
            </w:r>
          </w:p>
        </w:tc>
        <w:tc>
          <w:tcPr>
            <w:tcW w:w="1407" w:type="pct"/>
            <w:shd w:val="clear" w:color="auto" w:fill="auto"/>
          </w:tcPr>
          <w:p w14:paraId="1FFDB261" w14:textId="77777777" w:rsidR="00AC79C4" w:rsidRPr="007D359B" w:rsidRDefault="00AC79C4" w:rsidP="001F15A2">
            <w:pPr>
              <w:pStyle w:val="TableText"/>
            </w:pPr>
            <w:r>
              <w:t xml:space="preserve">Deficiency, changes to maintaining deficiencies - "Will not let me manually change the category from significant deficiency to recommendation. I get a 'You cannot change to a lesser severity‘ error message. </w:t>
            </w:r>
          </w:p>
        </w:tc>
        <w:tc>
          <w:tcPr>
            <w:tcW w:w="1701" w:type="pct"/>
          </w:tcPr>
          <w:p w14:paraId="62B10270" w14:textId="77777777" w:rsidR="00AC79C4" w:rsidRDefault="00AC79C4" w:rsidP="0037326B">
            <w:pPr>
              <w:pStyle w:val="TableText"/>
            </w:pPr>
            <w:r>
              <w:t xml:space="preserve">Users will not be able to update the severity for a deficiency to a lesser severity. There is currently no work around. </w:t>
            </w:r>
          </w:p>
          <w:p w14:paraId="3BB75C4D" w14:textId="77777777" w:rsidR="00AC79C4" w:rsidRDefault="00AC79C4" w:rsidP="0037326B">
            <w:pPr>
              <w:pStyle w:val="TableText"/>
            </w:pPr>
          </w:p>
          <w:p w14:paraId="045CD91B" w14:textId="77777777" w:rsidR="00AC79C4" w:rsidRPr="007D359B" w:rsidRDefault="00AC79C4" w:rsidP="0037326B">
            <w:pPr>
              <w:pStyle w:val="TableText"/>
            </w:pPr>
            <w:r>
              <w:t>This issue will be addressed in CY19R3.</w:t>
            </w:r>
          </w:p>
        </w:tc>
        <w:tc>
          <w:tcPr>
            <w:tcW w:w="957" w:type="pct"/>
          </w:tcPr>
          <w:p w14:paraId="7901A032" w14:textId="77777777" w:rsidR="00AC79C4" w:rsidRPr="00B1597E" w:rsidRDefault="00AC79C4" w:rsidP="00455A11">
            <w:pPr>
              <w:pStyle w:val="TableText"/>
            </w:pPr>
            <w:r>
              <w:rPr>
                <w:rFonts w:cs="Arial"/>
                <w:szCs w:val="20"/>
              </w:rPr>
              <w:t>Found testing Test Case 39, but doesn’t impact the expected outcomes of the test case</w:t>
            </w:r>
          </w:p>
        </w:tc>
      </w:tr>
      <w:tr w:rsidR="00AC79C4" w:rsidRPr="007D359B" w14:paraId="5E4F1858" w14:textId="77777777" w:rsidTr="00276846">
        <w:trPr>
          <w:cantSplit/>
          <w:trHeight w:val="602"/>
          <w:jc w:val="center"/>
        </w:trPr>
        <w:tc>
          <w:tcPr>
            <w:tcW w:w="935" w:type="pct"/>
            <w:shd w:val="clear" w:color="auto" w:fill="auto"/>
            <w:noWrap/>
          </w:tcPr>
          <w:p w14:paraId="0FBEA3E2" w14:textId="77777777" w:rsidR="00AC79C4" w:rsidRDefault="00AC79C4" w:rsidP="00455A11">
            <w:pPr>
              <w:pStyle w:val="TableText"/>
            </w:pPr>
            <w:r>
              <w:t>SP-6025</w:t>
            </w:r>
          </w:p>
        </w:tc>
        <w:tc>
          <w:tcPr>
            <w:tcW w:w="1407" w:type="pct"/>
            <w:shd w:val="clear" w:color="auto" w:fill="auto"/>
          </w:tcPr>
          <w:p w14:paraId="1FA1D924" w14:textId="77777777" w:rsidR="00AC79C4" w:rsidRDefault="00AC79C4" w:rsidP="00455A11">
            <w:pPr>
              <w:pStyle w:val="TableText"/>
            </w:pPr>
            <w:r>
              <w:t xml:space="preserve">Deficiency, Violations – “I can't manually update the Facility in the violation maintenance screen. </w:t>
            </w:r>
            <w:r w:rsidRPr="00303712">
              <w:t>The modal properly allows a facility to be selected for a validated violation but the save icon is not enabled when one is selected.</w:t>
            </w:r>
          </w:p>
        </w:tc>
        <w:tc>
          <w:tcPr>
            <w:tcW w:w="1701" w:type="pct"/>
          </w:tcPr>
          <w:p w14:paraId="1F13EADC" w14:textId="77777777" w:rsidR="00AC79C4" w:rsidRDefault="00AC79C4" w:rsidP="00455A11">
            <w:pPr>
              <w:pStyle w:val="TableText"/>
            </w:pPr>
            <w:r>
              <w:t>Users will not be able to change the Facility associated to a violation. There is currently on work around.</w:t>
            </w:r>
          </w:p>
          <w:p w14:paraId="5A25B6EA" w14:textId="77777777" w:rsidR="00AC79C4" w:rsidRDefault="00AC79C4" w:rsidP="00455A11">
            <w:pPr>
              <w:pStyle w:val="TableText"/>
            </w:pPr>
          </w:p>
          <w:p w14:paraId="73E7034D" w14:textId="77777777" w:rsidR="00AC79C4" w:rsidRPr="007D359B" w:rsidRDefault="00AC79C4" w:rsidP="00455A11">
            <w:pPr>
              <w:pStyle w:val="TableText"/>
            </w:pPr>
            <w:r>
              <w:t>This issue will be addressed in CY19R2.</w:t>
            </w:r>
          </w:p>
        </w:tc>
        <w:tc>
          <w:tcPr>
            <w:tcW w:w="957" w:type="pct"/>
          </w:tcPr>
          <w:p w14:paraId="00768814" w14:textId="77777777" w:rsidR="00AC79C4" w:rsidRDefault="00AC79C4" w:rsidP="00455A11">
            <w:pPr>
              <w:pStyle w:val="TableText"/>
            </w:pPr>
            <w:r>
              <w:rPr>
                <w:rFonts w:cs="Arial"/>
                <w:szCs w:val="20"/>
              </w:rPr>
              <w:t>Found testing Test Case 33, but doesn’t impact the expected outcomes of the test case</w:t>
            </w:r>
          </w:p>
        </w:tc>
      </w:tr>
      <w:tr w:rsidR="00AC79C4" w:rsidRPr="007D359B" w14:paraId="4E330404" w14:textId="77777777" w:rsidTr="00276846">
        <w:trPr>
          <w:cantSplit/>
          <w:trHeight w:val="602"/>
          <w:jc w:val="center"/>
        </w:trPr>
        <w:tc>
          <w:tcPr>
            <w:tcW w:w="935" w:type="pct"/>
            <w:shd w:val="clear" w:color="auto" w:fill="auto"/>
            <w:noWrap/>
          </w:tcPr>
          <w:p w14:paraId="1B65C0D6" w14:textId="77777777" w:rsidR="00AC79C4" w:rsidRDefault="00AC79C4" w:rsidP="00455A11">
            <w:pPr>
              <w:pStyle w:val="TableText"/>
            </w:pPr>
            <w:r w:rsidRPr="001106EB">
              <w:t>SP-6038</w:t>
            </w:r>
          </w:p>
        </w:tc>
        <w:tc>
          <w:tcPr>
            <w:tcW w:w="1407" w:type="pct"/>
            <w:shd w:val="clear" w:color="auto" w:fill="auto"/>
          </w:tcPr>
          <w:p w14:paraId="29A3A105" w14:textId="77777777" w:rsidR="00AC79C4" w:rsidRDefault="00AC79C4" w:rsidP="00455A11">
            <w:pPr>
              <w:pStyle w:val="TableText"/>
            </w:pPr>
            <w:r>
              <w:t xml:space="preserve">RTCR E. coli MCL Violations – After clearing the duplicate check message for a Sample ID, users </w:t>
            </w:r>
            <w:r w:rsidRPr="00B56072">
              <w:t>c</w:t>
            </w:r>
            <w:r>
              <w:t xml:space="preserve">hanges the sample ID and attempted to save. The updated Sample ID to address the duplicate message is not saved. Hitting save should always save results with it even after making a change due to a sample entry error.” </w:t>
            </w:r>
          </w:p>
          <w:p w14:paraId="0564F70A" w14:textId="77777777" w:rsidR="00AC79C4" w:rsidRDefault="00AC79C4" w:rsidP="00455A11">
            <w:pPr>
              <w:pStyle w:val="TableText"/>
            </w:pPr>
          </w:p>
        </w:tc>
        <w:tc>
          <w:tcPr>
            <w:tcW w:w="1701" w:type="pct"/>
          </w:tcPr>
          <w:p w14:paraId="0D65F348" w14:textId="77777777" w:rsidR="00AC79C4" w:rsidRDefault="00AC79C4" w:rsidP="00455A11">
            <w:pPr>
              <w:pStyle w:val="TableText"/>
            </w:pPr>
            <w:r>
              <w:t>This issue could not be replicated.</w:t>
            </w:r>
          </w:p>
          <w:p w14:paraId="1B32D0EC" w14:textId="77777777" w:rsidR="00AC79C4" w:rsidRDefault="00AC79C4" w:rsidP="00455A11">
            <w:pPr>
              <w:pStyle w:val="TableText"/>
            </w:pPr>
          </w:p>
          <w:p w14:paraId="0785B751" w14:textId="77777777" w:rsidR="00AC79C4" w:rsidRDefault="00AC79C4" w:rsidP="00455A11">
            <w:pPr>
              <w:pStyle w:val="TableText"/>
            </w:pPr>
            <w:r>
              <w:t xml:space="preserve">The SDWIS Development Team will monitor this issue. </w:t>
            </w:r>
          </w:p>
        </w:tc>
        <w:tc>
          <w:tcPr>
            <w:tcW w:w="957" w:type="pct"/>
          </w:tcPr>
          <w:p w14:paraId="2FD66024" w14:textId="77777777" w:rsidR="00AC79C4" w:rsidRDefault="00AC79C4" w:rsidP="00455A11">
            <w:pPr>
              <w:pStyle w:val="TableText"/>
            </w:pPr>
            <w:r>
              <w:rPr>
                <w:rFonts w:cs="Arial"/>
                <w:szCs w:val="20"/>
              </w:rPr>
              <w:t>Found testing Test Case 33, but doesn’t impact the expected outcomes of the test case</w:t>
            </w:r>
          </w:p>
        </w:tc>
      </w:tr>
      <w:tr w:rsidR="00AC79C4" w:rsidRPr="007D359B" w14:paraId="4F57F40A" w14:textId="77777777" w:rsidTr="00276846">
        <w:trPr>
          <w:cantSplit/>
          <w:trHeight w:val="602"/>
          <w:jc w:val="center"/>
        </w:trPr>
        <w:tc>
          <w:tcPr>
            <w:tcW w:w="935" w:type="pct"/>
            <w:shd w:val="clear" w:color="auto" w:fill="auto"/>
            <w:noWrap/>
          </w:tcPr>
          <w:p w14:paraId="162DFD79" w14:textId="77777777" w:rsidR="00AC79C4" w:rsidRDefault="00AC79C4" w:rsidP="00455A11">
            <w:pPr>
              <w:pStyle w:val="TableText"/>
            </w:pPr>
            <w:r>
              <w:t>SP-6039</w:t>
            </w:r>
          </w:p>
        </w:tc>
        <w:tc>
          <w:tcPr>
            <w:tcW w:w="1407" w:type="pct"/>
            <w:shd w:val="clear" w:color="auto" w:fill="auto"/>
          </w:tcPr>
          <w:p w14:paraId="7D61D3A2" w14:textId="77777777" w:rsidR="00AC79C4" w:rsidRDefault="00AC79C4" w:rsidP="00455A11">
            <w:pPr>
              <w:pStyle w:val="TableText"/>
            </w:pPr>
            <w:r>
              <w:t xml:space="preserve">RTCR E. coli MCL Violations </w:t>
            </w:r>
          </w:p>
          <w:p w14:paraId="2D00F566" w14:textId="77777777" w:rsidR="00AC79C4" w:rsidRPr="007D359B" w:rsidRDefault="00AC79C4" w:rsidP="00455A11">
            <w:pPr>
              <w:pStyle w:val="TableText"/>
            </w:pPr>
            <w:r>
              <w:t>I</w:t>
            </w:r>
            <w:r w:rsidRPr="00385E5E">
              <w:t>f user opens a candidate violation from either the global violation grid or the water-system-centric violation grid and validates the violation, the user is prohibited from changing the Issue Date. The user should be able to change the date and the date can be a future date.</w:t>
            </w:r>
          </w:p>
        </w:tc>
        <w:tc>
          <w:tcPr>
            <w:tcW w:w="1701" w:type="pct"/>
          </w:tcPr>
          <w:p w14:paraId="18D31429" w14:textId="77777777" w:rsidR="00AC79C4" w:rsidRDefault="00AC79C4" w:rsidP="00455A11">
            <w:pPr>
              <w:pStyle w:val="TableText"/>
            </w:pPr>
            <w:r>
              <w:t xml:space="preserve">Users will not be able to update the Issued Date. There is currently no work around. </w:t>
            </w:r>
          </w:p>
          <w:p w14:paraId="74B93505" w14:textId="77777777" w:rsidR="00AC79C4" w:rsidRDefault="00AC79C4" w:rsidP="00455A11">
            <w:pPr>
              <w:pStyle w:val="TableText"/>
            </w:pPr>
          </w:p>
          <w:p w14:paraId="0033EFA4" w14:textId="77777777" w:rsidR="00AC79C4" w:rsidRPr="007D359B" w:rsidRDefault="00AC79C4" w:rsidP="00455A11">
            <w:pPr>
              <w:pStyle w:val="TableText"/>
            </w:pPr>
            <w:r>
              <w:t xml:space="preserve">This issue will be addressed in CY19R3. </w:t>
            </w:r>
          </w:p>
        </w:tc>
        <w:tc>
          <w:tcPr>
            <w:tcW w:w="957" w:type="pct"/>
          </w:tcPr>
          <w:p w14:paraId="637D0C91" w14:textId="77777777" w:rsidR="00AC79C4" w:rsidRDefault="00AC79C4" w:rsidP="00455A11">
            <w:pPr>
              <w:pStyle w:val="TableText"/>
            </w:pPr>
            <w:r>
              <w:rPr>
                <w:rFonts w:cs="Arial"/>
                <w:szCs w:val="20"/>
              </w:rPr>
              <w:t>Found testing Test Case 33, but doesn’t impact the expected outcomes of the test case</w:t>
            </w:r>
          </w:p>
        </w:tc>
      </w:tr>
      <w:tr w:rsidR="00AC79C4" w:rsidRPr="007D359B" w14:paraId="1A9008CF" w14:textId="77777777" w:rsidTr="00276846">
        <w:trPr>
          <w:cantSplit/>
          <w:trHeight w:val="602"/>
          <w:jc w:val="center"/>
        </w:trPr>
        <w:tc>
          <w:tcPr>
            <w:tcW w:w="935" w:type="pct"/>
            <w:shd w:val="clear" w:color="auto" w:fill="auto"/>
            <w:noWrap/>
          </w:tcPr>
          <w:p w14:paraId="7C39F1EE" w14:textId="77777777" w:rsidR="00AC79C4" w:rsidRDefault="00AC79C4" w:rsidP="00455A11">
            <w:pPr>
              <w:pStyle w:val="TableText"/>
            </w:pPr>
            <w:r>
              <w:lastRenderedPageBreak/>
              <w:t>SP-6040</w:t>
            </w:r>
          </w:p>
        </w:tc>
        <w:tc>
          <w:tcPr>
            <w:tcW w:w="1407" w:type="pct"/>
            <w:shd w:val="clear" w:color="auto" w:fill="auto"/>
          </w:tcPr>
          <w:p w14:paraId="5603308B" w14:textId="77777777" w:rsidR="00AC79C4" w:rsidRDefault="00AC79C4" w:rsidP="00455A11">
            <w:pPr>
              <w:pStyle w:val="TableText"/>
            </w:pPr>
            <w:r>
              <w:t>RTCR E. coli MCL Violations – “you get an Error message saying you cannot choose an issue date in the future.”</w:t>
            </w:r>
          </w:p>
        </w:tc>
        <w:tc>
          <w:tcPr>
            <w:tcW w:w="1701" w:type="pct"/>
          </w:tcPr>
          <w:p w14:paraId="536A32B7" w14:textId="77777777" w:rsidR="00AC79C4" w:rsidRDefault="00AC79C4" w:rsidP="00455A11">
            <w:pPr>
              <w:pStyle w:val="TableText"/>
            </w:pPr>
            <w:r>
              <w:t>Users will not be able to enter an Issued Date that is in the future.</w:t>
            </w:r>
          </w:p>
          <w:p w14:paraId="2C2877BD" w14:textId="77777777" w:rsidR="00AC79C4" w:rsidRDefault="00AC79C4" w:rsidP="00455A11">
            <w:pPr>
              <w:pStyle w:val="TableText"/>
            </w:pPr>
          </w:p>
          <w:p w14:paraId="27865EA9" w14:textId="77777777" w:rsidR="00AC79C4" w:rsidRDefault="00AC79C4" w:rsidP="00455A11">
            <w:pPr>
              <w:pStyle w:val="TableText"/>
            </w:pPr>
            <w:r>
              <w:t xml:space="preserve">The work around is to enter an Issued Date that is before today’s date. </w:t>
            </w:r>
          </w:p>
          <w:p w14:paraId="68EA3A6E" w14:textId="77777777" w:rsidR="00AC79C4" w:rsidRDefault="00AC79C4" w:rsidP="00455A11">
            <w:pPr>
              <w:pStyle w:val="TableText"/>
            </w:pPr>
          </w:p>
          <w:p w14:paraId="7CD08146" w14:textId="77777777" w:rsidR="00AC79C4" w:rsidRPr="007D359B" w:rsidRDefault="00AC79C4" w:rsidP="00455A11">
            <w:pPr>
              <w:pStyle w:val="TableText"/>
            </w:pPr>
            <w:r>
              <w:t xml:space="preserve">This issue has been resolved and will be available in CY19R2. </w:t>
            </w:r>
          </w:p>
        </w:tc>
        <w:tc>
          <w:tcPr>
            <w:tcW w:w="957" w:type="pct"/>
          </w:tcPr>
          <w:p w14:paraId="65FC492C" w14:textId="77777777" w:rsidR="00AC79C4" w:rsidRDefault="00AC79C4" w:rsidP="00455A11">
            <w:pPr>
              <w:pStyle w:val="TableText"/>
            </w:pPr>
            <w:r>
              <w:rPr>
                <w:rFonts w:cs="Arial"/>
                <w:szCs w:val="20"/>
              </w:rPr>
              <w:t>Found testing Test Case 33, but doesn’t impact the expected outcomes of the test case</w:t>
            </w:r>
          </w:p>
        </w:tc>
      </w:tr>
      <w:tr w:rsidR="00AC79C4" w:rsidRPr="007D359B" w14:paraId="08226701" w14:textId="77777777" w:rsidTr="00276846">
        <w:trPr>
          <w:cantSplit/>
          <w:trHeight w:val="602"/>
          <w:jc w:val="center"/>
        </w:trPr>
        <w:tc>
          <w:tcPr>
            <w:tcW w:w="935" w:type="pct"/>
            <w:shd w:val="clear" w:color="auto" w:fill="auto"/>
            <w:noWrap/>
          </w:tcPr>
          <w:p w14:paraId="22AEAF4A" w14:textId="77777777" w:rsidR="00AC79C4" w:rsidRDefault="00AC79C4" w:rsidP="0037326B">
            <w:pPr>
              <w:pStyle w:val="TableText"/>
            </w:pPr>
            <w:r w:rsidRPr="000D12F6">
              <w:t>SP-6045</w:t>
            </w:r>
          </w:p>
        </w:tc>
        <w:tc>
          <w:tcPr>
            <w:tcW w:w="1407" w:type="pct"/>
            <w:shd w:val="clear" w:color="auto" w:fill="auto"/>
          </w:tcPr>
          <w:p w14:paraId="2287654E" w14:textId="77777777" w:rsidR="00AC79C4" w:rsidRPr="007D359B" w:rsidRDefault="00AC79C4" w:rsidP="000D12F6">
            <w:pPr>
              <w:pStyle w:val="TableText"/>
            </w:pPr>
            <w:r w:rsidRPr="000D12F6">
              <w:t>DBP M/R Sampling Point Violation, “unable to add a</w:t>
            </w:r>
            <w:r>
              <w:t xml:space="preserve"> source or treatment plant”</w:t>
            </w:r>
          </w:p>
        </w:tc>
        <w:tc>
          <w:tcPr>
            <w:tcW w:w="1701" w:type="pct"/>
          </w:tcPr>
          <w:p w14:paraId="3F461663" w14:textId="77777777" w:rsidR="00AC79C4" w:rsidRDefault="00AC79C4" w:rsidP="0037326B">
            <w:pPr>
              <w:pStyle w:val="TableText"/>
            </w:pPr>
            <w:r>
              <w:t>Users will not be able to save a newly created source or treatment plant. The work around is to use an existing source or treatment plant when testing.</w:t>
            </w:r>
          </w:p>
          <w:p w14:paraId="7ED59E84" w14:textId="77777777" w:rsidR="00AC79C4" w:rsidRDefault="00AC79C4" w:rsidP="0037326B">
            <w:pPr>
              <w:pStyle w:val="TableText"/>
            </w:pPr>
          </w:p>
          <w:p w14:paraId="642F23E3" w14:textId="77777777" w:rsidR="00AC79C4" w:rsidRPr="007D359B" w:rsidRDefault="00AC79C4" w:rsidP="0037326B">
            <w:pPr>
              <w:pStyle w:val="TableText"/>
            </w:pPr>
            <w:r>
              <w:t>This issue will be addressed in CY19R3.</w:t>
            </w:r>
          </w:p>
        </w:tc>
        <w:tc>
          <w:tcPr>
            <w:tcW w:w="957" w:type="pct"/>
          </w:tcPr>
          <w:p w14:paraId="7F80B811" w14:textId="77777777" w:rsidR="00AC79C4" w:rsidRDefault="00AC79C4" w:rsidP="00EE5976">
            <w:pPr>
              <w:pStyle w:val="TableText"/>
            </w:pPr>
            <w:r w:rsidRPr="007579AF">
              <w:t>Found testing Test Case 35</w:t>
            </w:r>
            <w:r>
              <w:t>, but doesn’t impact the expected outcomes of the test case</w:t>
            </w:r>
          </w:p>
        </w:tc>
      </w:tr>
      <w:tr w:rsidR="00AC79C4" w:rsidRPr="007D359B" w14:paraId="061D3714" w14:textId="77777777" w:rsidTr="00276846">
        <w:trPr>
          <w:cantSplit/>
          <w:trHeight w:val="134"/>
          <w:jc w:val="center"/>
        </w:trPr>
        <w:tc>
          <w:tcPr>
            <w:tcW w:w="935" w:type="pct"/>
            <w:shd w:val="clear" w:color="auto" w:fill="auto"/>
            <w:noWrap/>
          </w:tcPr>
          <w:p w14:paraId="2AD64A89" w14:textId="77777777" w:rsidR="00AC79C4" w:rsidRDefault="00AC79C4" w:rsidP="0037326B">
            <w:pPr>
              <w:pStyle w:val="TableText"/>
              <w:rPr>
                <w:rFonts w:cs="Arial"/>
                <w:szCs w:val="20"/>
              </w:rPr>
            </w:pPr>
            <w:r>
              <w:rPr>
                <w:rFonts w:cs="Arial"/>
                <w:szCs w:val="20"/>
              </w:rPr>
              <w:t>S</w:t>
            </w:r>
            <w:r w:rsidRPr="00C571E4">
              <w:rPr>
                <w:rFonts w:cs="Arial"/>
                <w:szCs w:val="20"/>
              </w:rPr>
              <w:t>P-6069</w:t>
            </w:r>
          </w:p>
        </w:tc>
        <w:tc>
          <w:tcPr>
            <w:tcW w:w="1407" w:type="pct"/>
            <w:shd w:val="clear" w:color="auto" w:fill="auto"/>
          </w:tcPr>
          <w:p w14:paraId="79F633F2" w14:textId="77777777" w:rsidR="00AC79C4" w:rsidRDefault="00AC79C4" w:rsidP="0037326B">
            <w:pPr>
              <w:pStyle w:val="TableText"/>
              <w:rPr>
                <w:rFonts w:cs="Arial"/>
                <w:szCs w:val="20"/>
              </w:rPr>
            </w:pPr>
            <w:r>
              <w:rPr>
                <w:rFonts w:cs="Arial"/>
                <w:szCs w:val="20"/>
              </w:rPr>
              <w:t xml:space="preserve">Test Case 32: the monitoring and reporting </w:t>
            </w:r>
            <w:r w:rsidRPr="00C571E4">
              <w:rPr>
                <w:rFonts w:cs="Arial"/>
                <w:szCs w:val="20"/>
              </w:rPr>
              <w:t xml:space="preserve">compliance </w:t>
            </w:r>
            <w:r>
              <w:rPr>
                <w:rFonts w:cs="Arial"/>
                <w:szCs w:val="20"/>
              </w:rPr>
              <w:t xml:space="preserve">determination feature </w:t>
            </w:r>
            <w:r w:rsidRPr="00C571E4">
              <w:rPr>
                <w:rFonts w:cs="Arial"/>
                <w:szCs w:val="20"/>
              </w:rPr>
              <w:t>for SOC is not creating candidate monitoring violations as expected.</w:t>
            </w:r>
            <w:r>
              <w:rPr>
                <w:rFonts w:cs="Arial"/>
                <w:szCs w:val="20"/>
              </w:rPr>
              <w:t xml:space="preserve"> </w:t>
            </w:r>
            <w:r w:rsidRPr="00C571E4">
              <w:rPr>
                <w:rFonts w:cs="Arial"/>
                <w:szCs w:val="20"/>
              </w:rPr>
              <w:t xml:space="preserve">This </w:t>
            </w:r>
            <w:r>
              <w:rPr>
                <w:rFonts w:cs="Arial"/>
                <w:szCs w:val="20"/>
              </w:rPr>
              <w:t>issue</w:t>
            </w:r>
            <w:r w:rsidRPr="00C571E4">
              <w:rPr>
                <w:rFonts w:cs="Arial"/>
                <w:szCs w:val="20"/>
              </w:rPr>
              <w:t xml:space="preserve"> was due to an issue with the reference records for SOC monitoring requirements</w:t>
            </w:r>
            <w:r>
              <w:rPr>
                <w:rFonts w:cs="Arial"/>
                <w:szCs w:val="20"/>
              </w:rPr>
              <w:t xml:space="preserve">. </w:t>
            </w:r>
          </w:p>
        </w:tc>
        <w:tc>
          <w:tcPr>
            <w:tcW w:w="1701" w:type="pct"/>
            <w:shd w:val="clear" w:color="auto" w:fill="auto"/>
          </w:tcPr>
          <w:p w14:paraId="7533C45F" w14:textId="77777777" w:rsidR="00AC79C4" w:rsidRDefault="00AC79C4" w:rsidP="0037326B">
            <w:pPr>
              <w:pStyle w:val="TableText"/>
              <w:rPr>
                <w:rFonts w:cs="Arial"/>
                <w:szCs w:val="20"/>
              </w:rPr>
            </w:pPr>
            <w:r>
              <w:rPr>
                <w:rFonts w:cs="Arial"/>
                <w:szCs w:val="20"/>
              </w:rPr>
              <w:t xml:space="preserve">Users will not see candidate monitoring violations generated by the BRE for the SOC rule. </w:t>
            </w:r>
          </w:p>
          <w:p w14:paraId="5E015B48" w14:textId="77777777" w:rsidR="00AC79C4" w:rsidRDefault="00AC79C4" w:rsidP="0037326B">
            <w:pPr>
              <w:pStyle w:val="TableText"/>
              <w:rPr>
                <w:rFonts w:cs="Arial"/>
                <w:szCs w:val="20"/>
              </w:rPr>
            </w:pPr>
          </w:p>
          <w:p w14:paraId="7517D336" w14:textId="77777777" w:rsidR="00AC79C4" w:rsidRDefault="00AC79C4" w:rsidP="0037326B">
            <w:pPr>
              <w:pStyle w:val="TableText"/>
              <w:rPr>
                <w:rFonts w:cs="Arial"/>
                <w:szCs w:val="20"/>
              </w:rPr>
            </w:pPr>
            <w:r>
              <w:t>This issue has been resolved and will be available in CY19R2.</w:t>
            </w:r>
          </w:p>
        </w:tc>
        <w:tc>
          <w:tcPr>
            <w:tcW w:w="957" w:type="pct"/>
          </w:tcPr>
          <w:p w14:paraId="2E0EBAB3" w14:textId="77777777" w:rsidR="00AC79C4" w:rsidRDefault="00AC79C4" w:rsidP="0037326B">
            <w:pPr>
              <w:pStyle w:val="TableText"/>
              <w:rPr>
                <w:rFonts w:cs="Arial"/>
                <w:szCs w:val="20"/>
              </w:rPr>
            </w:pPr>
            <w:r>
              <w:rPr>
                <w:rFonts w:cs="Arial"/>
                <w:szCs w:val="20"/>
              </w:rPr>
              <w:t>Test Case 32</w:t>
            </w:r>
          </w:p>
        </w:tc>
      </w:tr>
      <w:tr w:rsidR="00AC79C4" w:rsidRPr="007D359B" w14:paraId="5F5E979D" w14:textId="77777777" w:rsidTr="00276846">
        <w:trPr>
          <w:cantSplit/>
          <w:trHeight w:val="288"/>
          <w:jc w:val="center"/>
        </w:trPr>
        <w:tc>
          <w:tcPr>
            <w:tcW w:w="935" w:type="pct"/>
            <w:shd w:val="clear" w:color="auto" w:fill="auto"/>
            <w:noWrap/>
          </w:tcPr>
          <w:p w14:paraId="29D6A9C6" w14:textId="77777777" w:rsidR="00AC79C4" w:rsidRDefault="00AC79C4" w:rsidP="0037326B">
            <w:pPr>
              <w:pStyle w:val="TableText"/>
              <w:rPr>
                <w:rFonts w:cs="Arial"/>
                <w:szCs w:val="20"/>
              </w:rPr>
            </w:pPr>
            <w:r>
              <w:rPr>
                <w:rFonts w:cs="Arial"/>
                <w:szCs w:val="20"/>
              </w:rPr>
              <w:t>SP-6403</w:t>
            </w:r>
          </w:p>
        </w:tc>
        <w:tc>
          <w:tcPr>
            <w:tcW w:w="1407" w:type="pct"/>
            <w:shd w:val="clear" w:color="auto" w:fill="auto"/>
          </w:tcPr>
          <w:p w14:paraId="2B3BCA8D" w14:textId="77777777" w:rsidR="00AC79C4" w:rsidRDefault="00AC79C4" w:rsidP="0037326B">
            <w:pPr>
              <w:pStyle w:val="TableText"/>
              <w:rPr>
                <w:rFonts w:cs="Arial"/>
                <w:szCs w:val="20"/>
              </w:rPr>
            </w:pPr>
            <w:r>
              <w:rPr>
                <w:rFonts w:cs="Arial"/>
                <w:szCs w:val="20"/>
              </w:rPr>
              <w:t>Prime, including the business rule engine (BRE) sometimes has performance issues</w:t>
            </w:r>
            <w:r w:rsidRPr="003C6C13">
              <w:rPr>
                <w:rFonts w:cs="Arial"/>
                <w:szCs w:val="20"/>
              </w:rPr>
              <w:t xml:space="preserve"> </w:t>
            </w:r>
          </w:p>
        </w:tc>
        <w:tc>
          <w:tcPr>
            <w:tcW w:w="1701" w:type="pct"/>
            <w:shd w:val="clear" w:color="auto" w:fill="auto"/>
          </w:tcPr>
          <w:p w14:paraId="2FD650DA" w14:textId="77777777" w:rsidR="00AC79C4" w:rsidRDefault="00AC79C4" w:rsidP="0037326B">
            <w:pPr>
              <w:pStyle w:val="TableText"/>
              <w:rPr>
                <w:rFonts w:cs="Arial"/>
                <w:szCs w:val="20"/>
              </w:rPr>
            </w:pPr>
            <w:r>
              <w:rPr>
                <w:rFonts w:cs="Arial"/>
                <w:szCs w:val="20"/>
              </w:rPr>
              <w:t xml:space="preserve">Some test case outcomes, like the one for Test Case 4c - Monitoring Violation for all VOC in a MS, may take a while before they are visible. </w:t>
            </w:r>
          </w:p>
          <w:p w14:paraId="4BE87590" w14:textId="77777777" w:rsidR="00AC79C4" w:rsidRDefault="00AC79C4" w:rsidP="0037326B">
            <w:pPr>
              <w:pStyle w:val="TableText"/>
              <w:rPr>
                <w:rFonts w:cs="Arial"/>
                <w:szCs w:val="20"/>
              </w:rPr>
            </w:pPr>
          </w:p>
          <w:p w14:paraId="2FF30242" w14:textId="77777777" w:rsidR="00AC79C4" w:rsidRDefault="00AC79C4" w:rsidP="0037326B">
            <w:pPr>
              <w:pStyle w:val="TableText"/>
              <w:rPr>
                <w:rFonts w:cs="Arial"/>
                <w:szCs w:val="20"/>
              </w:rPr>
            </w:pPr>
            <w:r>
              <w:rPr>
                <w:rFonts w:cs="Arial"/>
                <w:szCs w:val="20"/>
              </w:rPr>
              <w:t>This issues will be addressed in CY19R3.</w:t>
            </w:r>
          </w:p>
        </w:tc>
        <w:tc>
          <w:tcPr>
            <w:tcW w:w="957" w:type="pct"/>
          </w:tcPr>
          <w:p w14:paraId="18AA7BDD" w14:textId="1EF9295C" w:rsidR="00AC79C4" w:rsidRDefault="00AC79C4" w:rsidP="00AC79C4">
            <w:pPr>
              <w:pStyle w:val="TableText"/>
              <w:rPr>
                <w:rFonts w:cs="Arial"/>
                <w:szCs w:val="20"/>
              </w:rPr>
            </w:pPr>
            <w:r>
              <w:rPr>
                <w:rFonts w:cs="Arial"/>
                <w:szCs w:val="20"/>
              </w:rPr>
              <w:t>Test Case</w:t>
            </w:r>
            <w:r w:rsidR="0028329E">
              <w:rPr>
                <w:rFonts w:cs="Arial"/>
                <w:szCs w:val="20"/>
              </w:rPr>
              <w:t>s</w:t>
            </w:r>
            <w:r>
              <w:rPr>
                <w:rFonts w:cs="Arial"/>
                <w:szCs w:val="20"/>
              </w:rPr>
              <w:t xml:space="preserve"> 4c, 32</w:t>
            </w:r>
          </w:p>
        </w:tc>
      </w:tr>
    </w:tbl>
    <w:p w14:paraId="06EBA773" w14:textId="22250584" w:rsidR="000D12F6" w:rsidRPr="002A2CCA" w:rsidRDefault="000D12F6" w:rsidP="000D12F6">
      <w:pPr>
        <w:pStyle w:val="StepText"/>
      </w:pPr>
    </w:p>
    <w:sectPr w:rsidR="000D12F6" w:rsidRPr="002A2CCA" w:rsidSect="00107C67">
      <w:footerReference w:type="default" r:id="rId12"/>
      <w:pgSz w:w="12240" w:h="15840"/>
      <w:pgMar w:top="2160" w:right="720" w:bottom="144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0805" w14:textId="77777777" w:rsidR="002902FB" w:rsidRDefault="002902FB" w:rsidP="00B87B63">
      <w:pPr>
        <w:spacing w:after="0" w:line="240" w:lineRule="auto"/>
      </w:pPr>
      <w:r>
        <w:separator/>
      </w:r>
    </w:p>
  </w:endnote>
  <w:endnote w:type="continuationSeparator" w:id="0">
    <w:p w14:paraId="0573570D" w14:textId="77777777" w:rsidR="002902FB" w:rsidRDefault="002902FB" w:rsidP="00B8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6889" w14:textId="77777777" w:rsidR="00C308C1" w:rsidRDefault="002A786C" w:rsidP="00C308C1">
    <w:pPr>
      <w:pStyle w:val="Footer"/>
    </w:pPr>
    <w:r>
      <w:rPr>
        <w:noProof/>
      </w:rPr>
      <w:drawing>
        <wp:anchor distT="0" distB="0" distL="114300" distR="114300" simplePos="0" relativeHeight="251660288" behindDoc="1" locked="0" layoutInCell="1" allowOverlap="1" wp14:anchorId="25E726AE" wp14:editId="2FC3AC5E">
          <wp:simplePos x="0" y="0"/>
          <wp:positionH relativeFrom="margin">
            <wp:posOffset>43180</wp:posOffset>
          </wp:positionH>
          <wp:positionV relativeFrom="bottomMargin">
            <wp:posOffset>205196</wp:posOffset>
          </wp:positionV>
          <wp:extent cx="1371600" cy="424815"/>
          <wp:effectExtent l="0" t="0" r="0" b="0"/>
          <wp:wrapNone/>
          <wp:docPr id="9" name="Picture 9"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0B84CBF" wp14:editId="3964F083">
          <wp:simplePos x="0" y="0"/>
          <wp:positionH relativeFrom="margin">
            <wp:posOffset>4965700</wp:posOffset>
          </wp:positionH>
          <wp:positionV relativeFrom="bottomMargin">
            <wp:posOffset>171994</wp:posOffset>
          </wp:positionV>
          <wp:extent cx="1892808" cy="475488"/>
          <wp:effectExtent l="0" t="0" r="0" b="1270"/>
          <wp:wrapNone/>
          <wp:docPr id="10" name="Picture 10"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p>
  <w:p w14:paraId="1248293D" w14:textId="77777777" w:rsidR="0092194B" w:rsidRDefault="00C308C1" w:rsidP="00C308C1">
    <w:pPr>
      <w:pStyle w:val="Footer"/>
    </w:pPr>
    <w:r>
      <w:t>This information is intended for use only by EPA,</w:t>
    </w:r>
  </w:p>
  <w:p w14:paraId="7562B7FD" w14:textId="77777777" w:rsidR="00C308C1" w:rsidRDefault="00C308C1" w:rsidP="0092194B">
    <w:pPr>
      <w:pStyle w:val="Footer"/>
    </w:pPr>
    <w:r>
      <w:t xml:space="preserve"> state, territory and tribal regulatory agencies.</w:t>
    </w:r>
  </w:p>
  <w:p w14:paraId="673952E7" w14:textId="77777777" w:rsidR="00FE4EDF" w:rsidRDefault="00C308C1" w:rsidP="00C308C1">
    <w:pPr>
      <w:pStyle w:val="Footer"/>
    </w:pPr>
    <w:r>
      <w:fldChar w:fldCharType="begin"/>
    </w:r>
    <w:r>
      <w:instrText xml:space="preserve"> PAGE   \* MERGEFORMAT </w:instrText>
    </w:r>
    <w:r>
      <w:fldChar w:fldCharType="separate"/>
    </w:r>
    <w:r w:rsidR="00BD3B5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D637" w14:textId="77777777" w:rsidR="00A9207B" w:rsidRDefault="00A9207B" w:rsidP="00C308C1">
    <w:pPr>
      <w:pStyle w:val="Footer"/>
    </w:pPr>
    <w:r>
      <w:rPr>
        <w:noProof/>
      </w:rPr>
      <w:drawing>
        <wp:anchor distT="0" distB="0" distL="114300" distR="114300" simplePos="0" relativeHeight="251663360" behindDoc="1" locked="0" layoutInCell="1" allowOverlap="1" wp14:anchorId="6679A896" wp14:editId="64456193">
          <wp:simplePos x="0" y="0"/>
          <wp:positionH relativeFrom="margin">
            <wp:posOffset>43180</wp:posOffset>
          </wp:positionH>
          <wp:positionV relativeFrom="bottomMargin">
            <wp:posOffset>205196</wp:posOffset>
          </wp:positionV>
          <wp:extent cx="1371600" cy="424815"/>
          <wp:effectExtent l="0" t="0" r="0" b="0"/>
          <wp:wrapNone/>
          <wp:docPr id="2" name="Picture 2"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4BD317F" wp14:editId="7920C0F5">
          <wp:simplePos x="0" y="0"/>
          <wp:positionH relativeFrom="margin">
            <wp:posOffset>4965700</wp:posOffset>
          </wp:positionH>
          <wp:positionV relativeFrom="bottomMargin">
            <wp:posOffset>171994</wp:posOffset>
          </wp:positionV>
          <wp:extent cx="1892808" cy="475488"/>
          <wp:effectExtent l="0" t="0" r="0" b="1270"/>
          <wp:wrapNone/>
          <wp:docPr id="3" name="Picture 3"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p>
  <w:p w14:paraId="42C1BBE5" w14:textId="77777777" w:rsidR="00A9207B" w:rsidRDefault="00A9207B" w:rsidP="00C308C1">
    <w:pPr>
      <w:pStyle w:val="Footer"/>
    </w:pPr>
    <w:r>
      <w:t>This information is intended for use only by EPA,</w:t>
    </w:r>
  </w:p>
  <w:p w14:paraId="1D5217B6" w14:textId="77777777" w:rsidR="00A9207B" w:rsidRDefault="00A9207B" w:rsidP="0092194B">
    <w:pPr>
      <w:pStyle w:val="Footer"/>
    </w:pPr>
    <w:r>
      <w:t xml:space="preserve"> state, territory and tribal regulatory agencies.</w:t>
    </w:r>
  </w:p>
  <w:p w14:paraId="71645A96" w14:textId="77777777" w:rsidR="00A9207B" w:rsidRDefault="00A9207B" w:rsidP="00C308C1">
    <w:pPr>
      <w:pStyle w:val="Footer"/>
    </w:pPr>
    <w:r>
      <w:t>A-</w:t>
    </w:r>
    <w:r>
      <w:fldChar w:fldCharType="begin"/>
    </w:r>
    <w:r>
      <w:instrText xml:space="preserve"> PAGE   \* MERGEFORMAT </w:instrText>
    </w:r>
    <w:r>
      <w:fldChar w:fldCharType="separate"/>
    </w:r>
    <w:r w:rsidR="00BD3B5C">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5EF3" w14:textId="77777777" w:rsidR="00791221" w:rsidRDefault="00791221" w:rsidP="00C308C1">
    <w:pPr>
      <w:pStyle w:val="Footer"/>
    </w:pPr>
    <w:r>
      <w:rPr>
        <w:noProof/>
      </w:rPr>
      <w:drawing>
        <wp:anchor distT="0" distB="0" distL="114300" distR="114300" simplePos="0" relativeHeight="251666432" behindDoc="1" locked="0" layoutInCell="1" allowOverlap="1" wp14:anchorId="6F153368" wp14:editId="1B6219C4">
          <wp:simplePos x="0" y="0"/>
          <wp:positionH relativeFrom="margin">
            <wp:posOffset>43180</wp:posOffset>
          </wp:positionH>
          <wp:positionV relativeFrom="bottomMargin">
            <wp:posOffset>205196</wp:posOffset>
          </wp:positionV>
          <wp:extent cx="1371600" cy="424815"/>
          <wp:effectExtent l="0" t="0" r="0" b="0"/>
          <wp:wrapNone/>
          <wp:docPr id="1" name="Picture 1"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D8326C8" wp14:editId="4B73916F">
          <wp:simplePos x="0" y="0"/>
          <wp:positionH relativeFrom="margin">
            <wp:posOffset>4965700</wp:posOffset>
          </wp:positionH>
          <wp:positionV relativeFrom="bottomMargin">
            <wp:posOffset>171994</wp:posOffset>
          </wp:positionV>
          <wp:extent cx="1892808" cy="475488"/>
          <wp:effectExtent l="0" t="0" r="0" b="1270"/>
          <wp:wrapNone/>
          <wp:docPr id="4" name="Picture 4"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p>
  <w:p w14:paraId="2EEB8CFF" w14:textId="77777777" w:rsidR="00791221" w:rsidRDefault="00791221" w:rsidP="00C308C1">
    <w:pPr>
      <w:pStyle w:val="Footer"/>
    </w:pPr>
    <w:r>
      <w:t>This information is intended for use only by EPA,</w:t>
    </w:r>
  </w:p>
  <w:p w14:paraId="1D8CE67C" w14:textId="77777777" w:rsidR="00791221" w:rsidRDefault="00791221" w:rsidP="0092194B">
    <w:pPr>
      <w:pStyle w:val="Footer"/>
    </w:pPr>
    <w:r>
      <w:t xml:space="preserve"> state, territory and tribal regulatory agencies.</w:t>
    </w:r>
  </w:p>
  <w:p w14:paraId="4172E057" w14:textId="69A09403" w:rsidR="00791221" w:rsidRDefault="00791221" w:rsidP="00C308C1">
    <w:pPr>
      <w:pStyle w:val="Footer"/>
    </w:pPr>
    <w:r>
      <w:t>B-</w:t>
    </w:r>
    <w:r>
      <w:fldChar w:fldCharType="begin"/>
    </w:r>
    <w:r>
      <w:instrText xml:space="preserve"> PAGE   \* MERGEFORMAT </w:instrText>
    </w:r>
    <w:r>
      <w:fldChar w:fldCharType="separate"/>
    </w:r>
    <w:r w:rsidR="00BD3B5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FDD2" w14:textId="77777777" w:rsidR="002902FB" w:rsidRDefault="002902FB" w:rsidP="00B87B63">
      <w:pPr>
        <w:spacing w:after="0" w:line="240" w:lineRule="auto"/>
      </w:pPr>
      <w:r>
        <w:separator/>
      </w:r>
    </w:p>
  </w:footnote>
  <w:footnote w:type="continuationSeparator" w:id="0">
    <w:p w14:paraId="4E9CDBB4" w14:textId="77777777" w:rsidR="002902FB" w:rsidRDefault="002902FB" w:rsidP="00B8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E8FB" w14:textId="77777777" w:rsidR="00017D30" w:rsidRPr="00D31116" w:rsidRDefault="0013310F" w:rsidP="00017D30">
    <w:pPr>
      <w:spacing w:before="240" w:after="0"/>
      <w:rPr>
        <w:rFonts w:ascii="Arial" w:hAnsi="Arial" w:cs="Arial"/>
        <w:color w:val="0076BD" w:themeColor="accent1"/>
        <w:sz w:val="18"/>
      </w:rPr>
    </w:pPr>
    <w:r w:rsidRPr="00017D30">
      <w:rPr>
        <w:rFonts w:ascii="Arial" w:hAnsi="Arial" w:cs="Arial"/>
        <w:noProof/>
        <w:color w:val="0076BD" w:themeColor="accent1"/>
        <w:sz w:val="18"/>
      </w:rPr>
      <w:drawing>
        <wp:anchor distT="0" distB="0" distL="114300" distR="114300" simplePos="0" relativeHeight="251658240" behindDoc="1" locked="0" layoutInCell="1" allowOverlap="1" wp14:anchorId="578EF26E" wp14:editId="21F7438C">
          <wp:simplePos x="0" y="0"/>
          <wp:positionH relativeFrom="page">
            <wp:align>left</wp:align>
          </wp:positionH>
          <wp:positionV relativeFrom="paragraph">
            <wp:posOffset>-457200</wp:posOffset>
          </wp:positionV>
          <wp:extent cx="7801176" cy="1226820"/>
          <wp:effectExtent l="0" t="0" r="9525" b="0"/>
          <wp:wrapNone/>
          <wp:docPr id="7" name="Picture 7" title="Decora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WIS Doc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825" cy="1230382"/>
                  </a:xfrm>
                  <a:prstGeom prst="rect">
                    <a:avLst/>
                  </a:prstGeom>
                </pic:spPr>
              </pic:pic>
            </a:graphicData>
          </a:graphic>
          <wp14:sizeRelH relativeFrom="margin">
            <wp14:pctWidth>0</wp14:pctWidth>
          </wp14:sizeRelH>
          <wp14:sizeRelV relativeFrom="margin">
            <wp14:pctHeight>0</wp14:pctHeight>
          </wp14:sizeRelV>
        </wp:anchor>
      </w:drawing>
    </w:r>
    <w:r w:rsidR="00017D30" w:rsidRPr="00017D30">
      <w:rPr>
        <w:rFonts w:ascii="Arial" w:hAnsi="Arial" w:cs="Arial"/>
        <w:color w:val="0076BD" w:themeColor="accent1"/>
        <w:sz w:val="18"/>
      </w:rPr>
      <w:t>S</w:t>
    </w:r>
    <w:r w:rsidR="00017D30" w:rsidRPr="00D31116">
      <w:rPr>
        <w:rFonts w:ascii="Arial" w:hAnsi="Arial" w:cs="Arial"/>
        <w:color w:val="0076BD" w:themeColor="accent1"/>
        <w:sz w:val="18"/>
      </w:rPr>
      <w:t>DWIS Prime</w:t>
    </w:r>
    <w:r w:rsidR="00017D30">
      <w:rPr>
        <w:rFonts w:ascii="Arial" w:hAnsi="Arial" w:cs="Arial"/>
        <w:color w:val="0076BD" w:themeColor="accent1"/>
        <w:sz w:val="18"/>
      </w:rPr>
      <w:t xml:space="preserve"> Application</w:t>
    </w:r>
  </w:p>
  <w:p w14:paraId="56AFD281" w14:textId="7DD71866" w:rsidR="00017D30" w:rsidRPr="00D31116" w:rsidRDefault="004C7B85" w:rsidP="00017D30">
    <w:pPr>
      <w:spacing w:after="0"/>
      <w:rPr>
        <w:rFonts w:ascii="Arial" w:hAnsi="Arial" w:cs="Arial"/>
        <w:color w:val="0076BD" w:themeColor="accent1"/>
        <w:sz w:val="18"/>
      </w:rPr>
    </w:pPr>
    <w:r>
      <w:rPr>
        <w:rFonts w:ascii="Arial" w:hAnsi="Arial" w:cs="Arial"/>
        <w:color w:val="0076BD" w:themeColor="accent1"/>
        <w:sz w:val="18"/>
      </w:rPr>
      <w:t>C</w:t>
    </w:r>
    <w:r w:rsidR="002F28EE">
      <w:rPr>
        <w:rFonts w:ascii="Arial" w:hAnsi="Arial" w:cs="Arial"/>
        <w:color w:val="0076BD" w:themeColor="accent1"/>
        <w:sz w:val="18"/>
      </w:rPr>
      <w:t>Y19R1</w:t>
    </w:r>
    <w:r>
      <w:rPr>
        <w:rFonts w:ascii="Arial" w:hAnsi="Arial" w:cs="Arial"/>
        <w:color w:val="0076BD" w:themeColor="accent1"/>
        <w:sz w:val="18"/>
      </w:rPr>
      <w:t xml:space="preserve"> </w:t>
    </w:r>
    <w:r w:rsidR="00017D30">
      <w:rPr>
        <w:rFonts w:ascii="Arial" w:hAnsi="Arial" w:cs="Arial"/>
        <w:color w:val="0076BD" w:themeColor="accent1"/>
        <w:sz w:val="18"/>
      </w:rPr>
      <w:t xml:space="preserve">Release </w:t>
    </w:r>
  </w:p>
  <w:p w14:paraId="322B793A" w14:textId="77777777" w:rsidR="00017D30" w:rsidRDefault="00017D30" w:rsidP="00017D30">
    <w:pPr>
      <w:spacing w:after="0"/>
      <w:rPr>
        <w:rFonts w:ascii="Arial" w:hAnsi="Arial" w:cs="Arial"/>
        <w:color w:val="0076BD" w:themeColor="accent1"/>
        <w:sz w:val="18"/>
      </w:rPr>
    </w:pPr>
    <w:r>
      <w:rPr>
        <w:rFonts w:ascii="Arial" w:hAnsi="Arial" w:cs="Arial"/>
        <w:color w:val="0076BD" w:themeColor="accent1"/>
        <w:sz w:val="18"/>
      </w:rPr>
      <w:t xml:space="preserve">Release Reference Guide </w:t>
    </w:r>
  </w:p>
  <w:p w14:paraId="4178AF1F" w14:textId="31D8125F" w:rsidR="00842EBB" w:rsidRDefault="00842EBB" w:rsidP="00017D30">
    <w:pPr>
      <w:spacing w:after="0"/>
      <w:rPr>
        <w:rFonts w:ascii="Arial" w:hAnsi="Arial" w:cs="Arial"/>
        <w:color w:val="0076BD" w:themeColor="accent1"/>
        <w:sz w:val="18"/>
      </w:rPr>
    </w:pPr>
    <w:r>
      <w:rPr>
        <w:rFonts w:ascii="Arial" w:hAnsi="Arial" w:cs="Arial"/>
        <w:color w:val="0076BD" w:themeColor="accent1"/>
        <w:sz w:val="18"/>
      </w:rPr>
      <w:t>Prepared by Attain, LLC</w:t>
    </w:r>
  </w:p>
  <w:p w14:paraId="0206FCCD" w14:textId="48DAB757" w:rsidR="00CF7B2D" w:rsidRDefault="004C7B85" w:rsidP="00017D30">
    <w:pPr>
      <w:spacing w:after="0"/>
      <w:rPr>
        <w:rFonts w:ascii="Arial" w:hAnsi="Arial" w:cs="Arial"/>
        <w:color w:val="0076BD" w:themeColor="accent1"/>
        <w:sz w:val="18"/>
      </w:rPr>
    </w:pPr>
    <w:r>
      <w:rPr>
        <w:rFonts w:ascii="Arial" w:hAnsi="Arial" w:cs="Arial"/>
        <w:color w:val="0076BD" w:themeColor="accent1"/>
        <w:sz w:val="18"/>
      </w:rPr>
      <w:t>January 1</w:t>
    </w:r>
    <w:r w:rsidR="0015412A">
      <w:rPr>
        <w:rFonts w:ascii="Arial" w:hAnsi="Arial" w:cs="Arial"/>
        <w:color w:val="0076BD" w:themeColor="accent1"/>
        <w:sz w:val="18"/>
      </w:rPr>
      <w:t>8</w:t>
    </w:r>
    <w:r w:rsidR="00842EBB">
      <w:rPr>
        <w:rFonts w:ascii="Arial" w:hAnsi="Arial" w:cs="Arial"/>
        <w:color w:val="0076BD" w:themeColor="accent1"/>
        <w:sz w:val="18"/>
      </w:rPr>
      <w:t>, 201</w:t>
    </w:r>
    <w:r>
      <w:rPr>
        <w:rFonts w:ascii="Arial" w:hAnsi="Arial" w:cs="Arial"/>
        <w:color w:val="0076BD" w:themeColor="accent1"/>
        <w:sz w:val="18"/>
      </w:rPr>
      <w:t>9</w:t>
    </w:r>
  </w:p>
  <w:p w14:paraId="1EA7BBEB" w14:textId="026E464F" w:rsidR="00C571E4" w:rsidRDefault="00605FA0" w:rsidP="00017D30">
    <w:pPr>
      <w:spacing w:after="0"/>
      <w:rPr>
        <w:rFonts w:ascii="Arial" w:hAnsi="Arial" w:cs="Arial"/>
        <w:color w:val="0076BD" w:themeColor="accent1"/>
        <w:sz w:val="18"/>
      </w:rPr>
    </w:pPr>
    <w:r>
      <w:rPr>
        <w:rFonts w:ascii="Arial" w:hAnsi="Arial" w:cs="Arial"/>
        <w:color w:val="0076BD" w:themeColor="accent1"/>
        <w:sz w:val="18"/>
      </w:rPr>
      <w:t xml:space="preserve">Updated: April </w:t>
    </w:r>
    <w:r w:rsidR="005E2346">
      <w:rPr>
        <w:rFonts w:ascii="Arial" w:hAnsi="Arial" w:cs="Arial"/>
        <w:color w:val="0076BD" w:themeColor="accent1"/>
        <w:sz w:val="18"/>
      </w:rPr>
      <w:t>22</w:t>
    </w:r>
    <w:r w:rsidR="00C571E4">
      <w:rPr>
        <w:rFonts w:ascii="Arial" w:hAnsi="Arial" w:cs="Arial"/>
        <w:color w:val="0076BD" w:themeColor="accent1"/>
        <w:sz w:val="18"/>
      </w:rPr>
      <w:t>, 2019</w:t>
    </w:r>
  </w:p>
  <w:p w14:paraId="48D68228" w14:textId="77777777" w:rsidR="008A43B2" w:rsidRDefault="008A43B2" w:rsidP="00352AC1">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82CE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FA5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C2D1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88A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2ED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404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48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FCD7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524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76E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4BE0"/>
    <w:multiLevelType w:val="hybridMultilevel"/>
    <w:tmpl w:val="34F4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C2117"/>
    <w:multiLevelType w:val="multilevel"/>
    <w:tmpl w:val="4996769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742ED1"/>
    <w:multiLevelType w:val="hybridMultilevel"/>
    <w:tmpl w:val="7276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A72E2"/>
    <w:multiLevelType w:val="hybridMultilevel"/>
    <w:tmpl w:val="4F2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E208F"/>
    <w:multiLevelType w:val="multilevel"/>
    <w:tmpl w:val="D3A28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67956FD"/>
    <w:multiLevelType w:val="hybridMultilevel"/>
    <w:tmpl w:val="BF468B00"/>
    <w:lvl w:ilvl="0" w:tplc="77AA2C1E">
      <w:numFmt w:val="bullet"/>
      <w:lvlText w:val=""/>
      <w:lvlJc w:val="left"/>
      <w:pPr>
        <w:ind w:left="1080" w:hanging="72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06E25"/>
    <w:multiLevelType w:val="hybridMultilevel"/>
    <w:tmpl w:val="829E69E6"/>
    <w:lvl w:ilvl="0" w:tplc="FFFFFFFF">
      <w:start w:val="1"/>
      <w:numFmt w:val="bullet"/>
      <w:pStyle w:val="TableBullet2"/>
      <w:lvlText w:val=""/>
      <w:lvlJc w:val="left"/>
      <w:pPr>
        <w:ind w:left="1008" w:hanging="360"/>
      </w:pPr>
      <w:rPr>
        <w:rFonts w:ascii="Symbol" w:hAnsi="Symbol" w:hint="default"/>
        <w:color w:val="808080" w:themeColor="background1" w:themeShade="8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2E035E1"/>
    <w:multiLevelType w:val="hybridMultilevel"/>
    <w:tmpl w:val="764CC0A8"/>
    <w:lvl w:ilvl="0" w:tplc="6D66442E">
      <w:start w:val="1"/>
      <w:numFmt w:val="bullet"/>
      <w:lvlText w:val=""/>
      <w:lvlJc w:val="left"/>
      <w:pPr>
        <w:ind w:left="720" w:hanging="360"/>
      </w:pPr>
      <w:rPr>
        <w:rFonts w:ascii="Symbol" w:hAnsi="Symbol" w:hint="default"/>
      </w:rPr>
    </w:lvl>
    <w:lvl w:ilvl="1" w:tplc="29CCD9E4">
      <w:start w:val="1"/>
      <w:numFmt w:val="bullet"/>
      <w:lvlText w:val="o"/>
      <w:lvlJc w:val="left"/>
      <w:pPr>
        <w:ind w:left="1440" w:hanging="360"/>
      </w:pPr>
      <w:rPr>
        <w:rFonts w:ascii="Courier New" w:hAnsi="Courier New" w:hint="default"/>
      </w:rPr>
    </w:lvl>
    <w:lvl w:ilvl="2" w:tplc="98FC8B32">
      <w:start w:val="1"/>
      <w:numFmt w:val="bullet"/>
      <w:lvlText w:val=""/>
      <w:lvlJc w:val="left"/>
      <w:pPr>
        <w:ind w:left="2160" w:hanging="360"/>
      </w:pPr>
      <w:rPr>
        <w:rFonts w:ascii="Wingdings" w:hAnsi="Wingdings" w:hint="default"/>
      </w:rPr>
    </w:lvl>
    <w:lvl w:ilvl="3" w:tplc="86060EC6">
      <w:start w:val="1"/>
      <w:numFmt w:val="bullet"/>
      <w:lvlText w:val=""/>
      <w:lvlJc w:val="left"/>
      <w:pPr>
        <w:ind w:left="2880" w:hanging="360"/>
      </w:pPr>
      <w:rPr>
        <w:rFonts w:ascii="Symbol" w:hAnsi="Symbol" w:hint="default"/>
      </w:rPr>
    </w:lvl>
    <w:lvl w:ilvl="4" w:tplc="2FEE3146">
      <w:start w:val="1"/>
      <w:numFmt w:val="bullet"/>
      <w:lvlText w:val="o"/>
      <w:lvlJc w:val="left"/>
      <w:pPr>
        <w:ind w:left="3600" w:hanging="360"/>
      </w:pPr>
      <w:rPr>
        <w:rFonts w:ascii="Courier New" w:hAnsi="Courier New" w:hint="default"/>
      </w:rPr>
    </w:lvl>
    <w:lvl w:ilvl="5" w:tplc="AECC45F2">
      <w:start w:val="1"/>
      <w:numFmt w:val="bullet"/>
      <w:lvlText w:val=""/>
      <w:lvlJc w:val="left"/>
      <w:pPr>
        <w:ind w:left="4320" w:hanging="360"/>
      </w:pPr>
      <w:rPr>
        <w:rFonts w:ascii="Wingdings" w:hAnsi="Wingdings" w:hint="default"/>
      </w:rPr>
    </w:lvl>
    <w:lvl w:ilvl="6" w:tplc="A07C27D2">
      <w:start w:val="1"/>
      <w:numFmt w:val="bullet"/>
      <w:lvlText w:val=""/>
      <w:lvlJc w:val="left"/>
      <w:pPr>
        <w:ind w:left="5040" w:hanging="360"/>
      </w:pPr>
      <w:rPr>
        <w:rFonts w:ascii="Symbol" w:hAnsi="Symbol" w:hint="default"/>
      </w:rPr>
    </w:lvl>
    <w:lvl w:ilvl="7" w:tplc="067C474E">
      <w:start w:val="1"/>
      <w:numFmt w:val="bullet"/>
      <w:lvlText w:val="o"/>
      <w:lvlJc w:val="left"/>
      <w:pPr>
        <w:ind w:left="5760" w:hanging="360"/>
      </w:pPr>
      <w:rPr>
        <w:rFonts w:ascii="Courier New" w:hAnsi="Courier New" w:hint="default"/>
      </w:rPr>
    </w:lvl>
    <w:lvl w:ilvl="8" w:tplc="DA741D54">
      <w:start w:val="1"/>
      <w:numFmt w:val="bullet"/>
      <w:lvlText w:val=""/>
      <w:lvlJc w:val="left"/>
      <w:pPr>
        <w:ind w:left="6480" w:hanging="360"/>
      </w:pPr>
      <w:rPr>
        <w:rFonts w:ascii="Wingdings" w:hAnsi="Wingdings" w:hint="default"/>
      </w:rPr>
    </w:lvl>
  </w:abstractNum>
  <w:abstractNum w:abstractNumId="18" w15:restartNumberingAfterBreak="0">
    <w:nsid w:val="249F205A"/>
    <w:multiLevelType w:val="hybridMultilevel"/>
    <w:tmpl w:val="B17A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C088C"/>
    <w:multiLevelType w:val="hybridMultilevel"/>
    <w:tmpl w:val="4784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B150C"/>
    <w:multiLevelType w:val="hybridMultilevel"/>
    <w:tmpl w:val="690C83EE"/>
    <w:lvl w:ilvl="0" w:tplc="77AA2C1E">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12FC1"/>
    <w:multiLevelType w:val="hybridMultilevel"/>
    <w:tmpl w:val="8696AF6C"/>
    <w:lvl w:ilvl="0" w:tplc="481CBA22">
      <w:start w:val="1"/>
      <w:numFmt w:val="bullet"/>
      <w:lvlText w:val=""/>
      <w:lvlJc w:val="left"/>
      <w:pPr>
        <w:ind w:left="720" w:hanging="360"/>
      </w:pPr>
      <w:rPr>
        <w:rFonts w:ascii="Symbol" w:hAnsi="Symbol" w:hint="default"/>
      </w:rPr>
    </w:lvl>
    <w:lvl w:ilvl="1" w:tplc="560EC39A">
      <w:start w:val="1"/>
      <w:numFmt w:val="bullet"/>
      <w:lvlText w:val="o"/>
      <w:lvlJc w:val="left"/>
      <w:pPr>
        <w:ind w:left="1440" w:hanging="360"/>
      </w:pPr>
      <w:rPr>
        <w:rFonts w:ascii="Courier New" w:hAnsi="Courier New" w:hint="default"/>
      </w:rPr>
    </w:lvl>
    <w:lvl w:ilvl="2" w:tplc="A5DA40FE">
      <w:start w:val="1"/>
      <w:numFmt w:val="bullet"/>
      <w:lvlText w:val=""/>
      <w:lvlJc w:val="left"/>
      <w:pPr>
        <w:ind w:left="2160" w:hanging="360"/>
      </w:pPr>
      <w:rPr>
        <w:rFonts w:ascii="Wingdings" w:hAnsi="Wingdings" w:hint="default"/>
      </w:rPr>
    </w:lvl>
    <w:lvl w:ilvl="3" w:tplc="A73AFB5A">
      <w:start w:val="1"/>
      <w:numFmt w:val="bullet"/>
      <w:lvlText w:val=""/>
      <w:lvlJc w:val="left"/>
      <w:pPr>
        <w:ind w:left="2880" w:hanging="360"/>
      </w:pPr>
      <w:rPr>
        <w:rFonts w:ascii="Symbol" w:hAnsi="Symbol" w:hint="default"/>
      </w:rPr>
    </w:lvl>
    <w:lvl w:ilvl="4" w:tplc="632CEBA2">
      <w:start w:val="1"/>
      <w:numFmt w:val="bullet"/>
      <w:lvlText w:val="o"/>
      <w:lvlJc w:val="left"/>
      <w:pPr>
        <w:ind w:left="3600" w:hanging="360"/>
      </w:pPr>
      <w:rPr>
        <w:rFonts w:ascii="Courier New" w:hAnsi="Courier New" w:hint="default"/>
      </w:rPr>
    </w:lvl>
    <w:lvl w:ilvl="5" w:tplc="3CE2230E">
      <w:start w:val="1"/>
      <w:numFmt w:val="bullet"/>
      <w:lvlText w:val=""/>
      <w:lvlJc w:val="left"/>
      <w:pPr>
        <w:ind w:left="4320" w:hanging="360"/>
      </w:pPr>
      <w:rPr>
        <w:rFonts w:ascii="Wingdings" w:hAnsi="Wingdings" w:hint="default"/>
      </w:rPr>
    </w:lvl>
    <w:lvl w:ilvl="6" w:tplc="44608FDE">
      <w:start w:val="1"/>
      <w:numFmt w:val="bullet"/>
      <w:lvlText w:val=""/>
      <w:lvlJc w:val="left"/>
      <w:pPr>
        <w:ind w:left="5040" w:hanging="360"/>
      </w:pPr>
      <w:rPr>
        <w:rFonts w:ascii="Symbol" w:hAnsi="Symbol" w:hint="default"/>
      </w:rPr>
    </w:lvl>
    <w:lvl w:ilvl="7" w:tplc="ABEAB23E">
      <w:start w:val="1"/>
      <w:numFmt w:val="bullet"/>
      <w:lvlText w:val="o"/>
      <w:lvlJc w:val="left"/>
      <w:pPr>
        <w:ind w:left="5760" w:hanging="360"/>
      </w:pPr>
      <w:rPr>
        <w:rFonts w:ascii="Courier New" w:hAnsi="Courier New" w:hint="default"/>
      </w:rPr>
    </w:lvl>
    <w:lvl w:ilvl="8" w:tplc="A008BAAA">
      <w:start w:val="1"/>
      <w:numFmt w:val="bullet"/>
      <w:lvlText w:val=""/>
      <w:lvlJc w:val="left"/>
      <w:pPr>
        <w:ind w:left="6480" w:hanging="360"/>
      </w:pPr>
      <w:rPr>
        <w:rFonts w:ascii="Wingdings" w:hAnsi="Wingdings" w:hint="default"/>
      </w:rPr>
    </w:lvl>
  </w:abstractNum>
  <w:abstractNum w:abstractNumId="22" w15:restartNumberingAfterBreak="0">
    <w:nsid w:val="37631BF6"/>
    <w:multiLevelType w:val="multilevel"/>
    <w:tmpl w:val="A980F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25263B"/>
    <w:multiLevelType w:val="hybridMultilevel"/>
    <w:tmpl w:val="A9ACDF54"/>
    <w:lvl w:ilvl="0" w:tplc="77AA2C1E">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11695"/>
    <w:multiLevelType w:val="hybridMultilevel"/>
    <w:tmpl w:val="1F126A6A"/>
    <w:lvl w:ilvl="0" w:tplc="05109812">
      <w:start w:val="1"/>
      <w:numFmt w:val="decimal"/>
      <w:pStyle w:val="NumberedList"/>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83D3C"/>
    <w:multiLevelType w:val="hybridMultilevel"/>
    <w:tmpl w:val="C55A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51312"/>
    <w:multiLevelType w:val="multilevel"/>
    <w:tmpl w:val="BE1E1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E4039E"/>
    <w:multiLevelType w:val="hybridMultilevel"/>
    <w:tmpl w:val="D2687E00"/>
    <w:lvl w:ilvl="0" w:tplc="77AA2C1E">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220DF"/>
    <w:multiLevelType w:val="multilevel"/>
    <w:tmpl w:val="D3A28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7D5071D"/>
    <w:multiLevelType w:val="hybridMultilevel"/>
    <w:tmpl w:val="42620266"/>
    <w:lvl w:ilvl="0" w:tplc="77AA2C1E">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038DF"/>
    <w:multiLevelType w:val="hybridMultilevel"/>
    <w:tmpl w:val="C26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4254F"/>
    <w:multiLevelType w:val="multilevel"/>
    <w:tmpl w:val="209A39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077BC4"/>
    <w:multiLevelType w:val="hybridMultilevel"/>
    <w:tmpl w:val="C0DE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3452C"/>
    <w:multiLevelType w:val="multilevel"/>
    <w:tmpl w:val="4996769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028585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4E65527"/>
    <w:multiLevelType w:val="hybridMultilevel"/>
    <w:tmpl w:val="C29A120C"/>
    <w:lvl w:ilvl="0" w:tplc="77AA2C1E">
      <w:numFmt w:val="bullet"/>
      <w:lvlText w:val=""/>
      <w:lvlJc w:val="left"/>
      <w:pPr>
        <w:ind w:left="1080" w:hanging="72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86F2C"/>
    <w:multiLevelType w:val="hybridMultilevel"/>
    <w:tmpl w:val="5BD68450"/>
    <w:lvl w:ilvl="0" w:tplc="818AFD9C">
      <w:start w:val="1"/>
      <w:numFmt w:val="bullet"/>
      <w:lvlText w:val=""/>
      <w:lvlJc w:val="left"/>
      <w:pPr>
        <w:ind w:left="720" w:hanging="360"/>
      </w:pPr>
      <w:rPr>
        <w:rFonts w:ascii="Symbol" w:hAnsi="Symbol" w:hint="default"/>
      </w:rPr>
    </w:lvl>
    <w:lvl w:ilvl="1" w:tplc="D188FA04">
      <w:start w:val="1"/>
      <w:numFmt w:val="bullet"/>
      <w:lvlText w:val="o"/>
      <w:lvlJc w:val="left"/>
      <w:pPr>
        <w:ind w:left="1440" w:hanging="360"/>
      </w:pPr>
      <w:rPr>
        <w:rFonts w:ascii="Courier New" w:hAnsi="Courier New" w:hint="default"/>
      </w:rPr>
    </w:lvl>
    <w:lvl w:ilvl="2" w:tplc="058C3532">
      <w:start w:val="1"/>
      <w:numFmt w:val="bullet"/>
      <w:lvlText w:val=""/>
      <w:lvlJc w:val="left"/>
      <w:pPr>
        <w:ind w:left="2160" w:hanging="360"/>
      </w:pPr>
      <w:rPr>
        <w:rFonts w:ascii="Wingdings" w:hAnsi="Wingdings" w:hint="default"/>
      </w:rPr>
    </w:lvl>
    <w:lvl w:ilvl="3" w:tplc="477CF120">
      <w:start w:val="1"/>
      <w:numFmt w:val="bullet"/>
      <w:lvlText w:val=""/>
      <w:lvlJc w:val="left"/>
      <w:pPr>
        <w:ind w:left="2880" w:hanging="360"/>
      </w:pPr>
      <w:rPr>
        <w:rFonts w:ascii="Symbol" w:hAnsi="Symbol" w:hint="default"/>
      </w:rPr>
    </w:lvl>
    <w:lvl w:ilvl="4" w:tplc="FA9CF658">
      <w:start w:val="1"/>
      <w:numFmt w:val="bullet"/>
      <w:lvlText w:val="o"/>
      <w:lvlJc w:val="left"/>
      <w:pPr>
        <w:ind w:left="3600" w:hanging="360"/>
      </w:pPr>
      <w:rPr>
        <w:rFonts w:ascii="Courier New" w:hAnsi="Courier New" w:hint="default"/>
      </w:rPr>
    </w:lvl>
    <w:lvl w:ilvl="5" w:tplc="1CFE8D5A">
      <w:start w:val="1"/>
      <w:numFmt w:val="bullet"/>
      <w:lvlText w:val=""/>
      <w:lvlJc w:val="left"/>
      <w:pPr>
        <w:ind w:left="4320" w:hanging="360"/>
      </w:pPr>
      <w:rPr>
        <w:rFonts w:ascii="Wingdings" w:hAnsi="Wingdings" w:hint="default"/>
      </w:rPr>
    </w:lvl>
    <w:lvl w:ilvl="6" w:tplc="239C9A22">
      <w:start w:val="1"/>
      <w:numFmt w:val="bullet"/>
      <w:lvlText w:val=""/>
      <w:lvlJc w:val="left"/>
      <w:pPr>
        <w:ind w:left="5040" w:hanging="360"/>
      </w:pPr>
      <w:rPr>
        <w:rFonts w:ascii="Symbol" w:hAnsi="Symbol" w:hint="default"/>
      </w:rPr>
    </w:lvl>
    <w:lvl w:ilvl="7" w:tplc="B4409B30">
      <w:start w:val="1"/>
      <w:numFmt w:val="bullet"/>
      <w:lvlText w:val="o"/>
      <w:lvlJc w:val="left"/>
      <w:pPr>
        <w:ind w:left="5760" w:hanging="360"/>
      </w:pPr>
      <w:rPr>
        <w:rFonts w:ascii="Courier New" w:hAnsi="Courier New" w:hint="default"/>
      </w:rPr>
    </w:lvl>
    <w:lvl w:ilvl="8" w:tplc="22466446">
      <w:start w:val="1"/>
      <w:numFmt w:val="bullet"/>
      <w:lvlText w:val=""/>
      <w:lvlJc w:val="left"/>
      <w:pPr>
        <w:ind w:left="6480" w:hanging="360"/>
      </w:pPr>
      <w:rPr>
        <w:rFonts w:ascii="Wingdings" w:hAnsi="Wingdings" w:hint="default"/>
      </w:rPr>
    </w:lvl>
  </w:abstractNum>
  <w:abstractNum w:abstractNumId="37" w15:restartNumberingAfterBreak="0">
    <w:nsid w:val="5B1E475A"/>
    <w:multiLevelType w:val="hybridMultilevel"/>
    <w:tmpl w:val="080CF6DE"/>
    <w:lvl w:ilvl="0" w:tplc="FFFFFFFF">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959AD"/>
    <w:multiLevelType w:val="hybridMultilevel"/>
    <w:tmpl w:val="F5A8AF3C"/>
    <w:lvl w:ilvl="0" w:tplc="6DA4AC62">
      <w:start w:val="1"/>
      <w:numFmt w:val="bullet"/>
      <w:pStyle w:val="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355409"/>
    <w:multiLevelType w:val="hybridMultilevel"/>
    <w:tmpl w:val="FDE4AAA2"/>
    <w:lvl w:ilvl="0" w:tplc="77AA2C1E">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412FB"/>
    <w:multiLevelType w:val="hybridMultilevel"/>
    <w:tmpl w:val="C3CC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86010"/>
    <w:multiLevelType w:val="hybridMultilevel"/>
    <w:tmpl w:val="1EA05DFE"/>
    <w:lvl w:ilvl="0" w:tplc="77AA2C1E">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10FCB"/>
    <w:multiLevelType w:val="hybridMultilevel"/>
    <w:tmpl w:val="9E743DBE"/>
    <w:lvl w:ilvl="0" w:tplc="077C7568">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3" w15:restartNumberingAfterBreak="0">
    <w:nsid w:val="78580EA0"/>
    <w:multiLevelType w:val="multilevel"/>
    <w:tmpl w:val="D3A28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AA2F38"/>
    <w:multiLevelType w:val="multilevel"/>
    <w:tmpl w:val="D3A28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5A5C9A"/>
    <w:multiLevelType w:val="hybridMultilevel"/>
    <w:tmpl w:val="483CB62C"/>
    <w:lvl w:ilvl="0" w:tplc="563A5CBC">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1"/>
  </w:num>
  <w:num w:numId="4">
    <w:abstractNumId w:val="34"/>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6"/>
  </w:num>
  <w:num w:numId="18">
    <w:abstractNumId w:val="45"/>
  </w:num>
  <w:num w:numId="19">
    <w:abstractNumId w:val="38"/>
  </w:num>
  <w:num w:numId="20">
    <w:abstractNumId w:val="24"/>
  </w:num>
  <w:num w:numId="21">
    <w:abstractNumId w:val="24"/>
    <w:lvlOverride w:ilvl="0">
      <w:startOverride w:val="1"/>
    </w:lvlOverride>
  </w:num>
  <w:num w:numId="22">
    <w:abstractNumId w:val="22"/>
  </w:num>
  <w:num w:numId="23">
    <w:abstractNumId w:val="19"/>
  </w:num>
  <w:num w:numId="24">
    <w:abstractNumId w:val="32"/>
  </w:num>
  <w:num w:numId="25">
    <w:abstractNumId w:val="12"/>
  </w:num>
  <w:num w:numId="26">
    <w:abstractNumId w:val="25"/>
  </w:num>
  <w:num w:numId="27">
    <w:abstractNumId w:val="10"/>
  </w:num>
  <w:num w:numId="28">
    <w:abstractNumId w:val="30"/>
  </w:num>
  <w:num w:numId="29">
    <w:abstractNumId w:val="39"/>
  </w:num>
  <w:num w:numId="30">
    <w:abstractNumId w:val="35"/>
  </w:num>
  <w:num w:numId="31">
    <w:abstractNumId w:val="23"/>
  </w:num>
  <w:num w:numId="32">
    <w:abstractNumId w:val="15"/>
  </w:num>
  <w:num w:numId="33">
    <w:abstractNumId w:val="29"/>
  </w:num>
  <w:num w:numId="34">
    <w:abstractNumId w:val="27"/>
  </w:num>
  <w:num w:numId="35">
    <w:abstractNumId w:val="20"/>
  </w:num>
  <w:num w:numId="36">
    <w:abstractNumId w:val="41"/>
  </w:num>
  <w:num w:numId="37">
    <w:abstractNumId w:val="13"/>
  </w:num>
  <w:num w:numId="38">
    <w:abstractNumId w:val="18"/>
  </w:num>
  <w:num w:numId="39">
    <w:abstractNumId w:val="31"/>
  </w:num>
  <w:num w:numId="40">
    <w:abstractNumId w:val="11"/>
  </w:num>
  <w:num w:numId="41">
    <w:abstractNumId w:val="33"/>
  </w:num>
  <w:num w:numId="42">
    <w:abstractNumId w:val="14"/>
  </w:num>
  <w:num w:numId="43">
    <w:abstractNumId w:val="44"/>
  </w:num>
  <w:num w:numId="44">
    <w:abstractNumId w:val="43"/>
  </w:num>
  <w:num w:numId="45">
    <w:abstractNumId w:val="28"/>
  </w:num>
  <w:num w:numId="46">
    <w:abstractNumId w:val="24"/>
  </w:num>
  <w:num w:numId="47">
    <w:abstractNumId w:val="37"/>
  </w:num>
  <w:num w:numId="48">
    <w:abstractNumId w:val="37"/>
  </w:num>
  <w:num w:numId="49">
    <w:abstractNumId w:val="2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02"/>
    <w:rsid w:val="00016605"/>
    <w:rsid w:val="000170F5"/>
    <w:rsid w:val="00017D30"/>
    <w:rsid w:val="00026B22"/>
    <w:rsid w:val="000476AD"/>
    <w:rsid w:val="0005156C"/>
    <w:rsid w:val="00055F40"/>
    <w:rsid w:val="000868C9"/>
    <w:rsid w:val="000A3D11"/>
    <w:rsid w:val="000B6B53"/>
    <w:rsid w:val="000D12F6"/>
    <w:rsid w:val="000D4242"/>
    <w:rsid w:val="000D6799"/>
    <w:rsid w:val="000F49C8"/>
    <w:rsid w:val="00106E5D"/>
    <w:rsid w:val="00107C67"/>
    <w:rsid w:val="001106EB"/>
    <w:rsid w:val="00112714"/>
    <w:rsid w:val="0012309E"/>
    <w:rsid w:val="001278C9"/>
    <w:rsid w:val="001310C5"/>
    <w:rsid w:val="0013310F"/>
    <w:rsid w:val="00133809"/>
    <w:rsid w:val="00137CBF"/>
    <w:rsid w:val="001538CC"/>
    <w:rsid w:val="0015412A"/>
    <w:rsid w:val="00175146"/>
    <w:rsid w:val="00184442"/>
    <w:rsid w:val="001853BD"/>
    <w:rsid w:val="001951D7"/>
    <w:rsid w:val="001970A0"/>
    <w:rsid w:val="001C3D2D"/>
    <w:rsid w:val="001C4A18"/>
    <w:rsid w:val="001E6253"/>
    <w:rsid w:val="001F15A2"/>
    <w:rsid w:val="00210C37"/>
    <w:rsid w:val="00237F1E"/>
    <w:rsid w:val="0024315E"/>
    <w:rsid w:val="002513BA"/>
    <w:rsid w:val="00263415"/>
    <w:rsid w:val="00273184"/>
    <w:rsid w:val="002749A2"/>
    <w:rsid w:val="00276846"/>
    <w:rsid w:val="0028329E"/>
    <w:rsid w:val="002902FB"/>
    <w:rsid w:val="002A1F87"/>
    <w:rsid w:val="002A2CCA"/>
    <w:rsid w:val="002A786C"/>
    <w:rsid w:val="002B166A"/>
    <w:rsid w:val="002B3ECF"/>
    <w:rsid w:val="002B7B3A"/>
    <w:rsid w:val="002E0ED4"/>
    <w:rsid w:val="002E1233"/>
    <w:rsid w:val="002F28EE"/>
    <w:rsid w:val="002F3E83"/>
    <w:rsid w:val="002F68BD"/>
    <w:rsid w:val="00303712"/>
    <w:rsid w:val="00303937"/>
    <w:rsid w:val="00331DB9"/>
    <w:rsid w:val="00342785"/>
    <w:rsid w:val="00343447"/>
    <w:rsid w:val="003478D8"/>
    <w:rsid w:val="00352AC1"/>
    <w:rsid w:val="00367ECC"/>
    <w:rsid w:val="00385E5E"/>
    <w:rsid w:val="003952FD"/>
    <w:rsid w:val="003A07F0"/>
    <w:rsid w:val="003C24DF"/>
    <w:rsid w:val="003C6C13"/>
    <w:rsid w:val="003E15C1"/>
    <w:rsid w:val="003F1D78"/>
    <w:rsid w:val="00400578"/>
    <w:rsid w:val="00420B90"/>
    <w:rsid w:val="00435CA9"/>
    <w:rsid w:val="00442C44"/>
    <w:rsid w:val="00453898"/>
    <w:rsid w:val="00455A11"/>
    <w:rsid w:val="004770E5"/>
    <w:rsid w:val="00491716"/>
    <w:rsid w:val="00493B04"/>
    <w:rsid w:val="0049607C"/>
    <w:rsid w:val="004A3E69"/>
    <w:rsid w:val="004A427F"/>
    <w:rsid w:val="004C7B85"/>
    <w:rsid w:val="004D119E"/>
    <w:rsid w:val="00502BE4"/>
    <w:rsid w:val="00531275"/>
    <w:rsid w:val="00532B52"/>
    <w:rsid w:val="00535E8C"/>
    <w:rsid w:val="0054144F"/>
    <w:rsid w:val="00544535"/>
    <w:rsid w:val="00555E5C"/>
    <w:rsid w:val="0055653C"/>
    <w:rsid w:val="00557F46"/>
    <w:rsid w:val="00560315"/>
    <w:rsid w:val="00574F43"/>
    <w:rsid w:val="00583055"/>
    <w:rsid w:val="00584E3F"/>
    <w:rsid w:val="005A0385"/>
    <w:rsid w:val="005D5174"/>
    <w:rsid w:val="005E2346"/>
    <w:rsid w:val="005F24B6"/>
    <w:rsid w:val="005F2B92"/>
    <w:rsid w:val="005F3026"/>
    <w:rsid w:val="005F59F4"/>
    <w:rsid w:val="005F7032"/>
    <w:rsid w:val="005F7BC5"/>
    <w:rsid w:val="00601134"/>
    <w:rsid w:val="0060282D"/>
    <w:rsid w:val="00605FA0"/>
    <w:rsid w:val="006060E1"/>
    <w:rsid w:val="00611EA5"/>
    <w:rsid w:val="00630498"/>
    <w:rsid w:val="00643CAE"/>
    <w:rsid w:val="00645443"/>
    <w:rsid w:val="006511C6"/>
    <w:rsid w:val="0069A176"/>
    <w:rsid w:val="006A458D"/>
    <w:rsid w:val="006D0E46"/>
    <w:rsid w:val="006D5F35"/>
    <w:rsid w:val="006E5618"/>
    <w:rsid w:val="006F0E3C"/>
    <w:rsid w:val="006F43C3"/>
    <w:rsid w:val="006F767A"/>
    <w:rsid w:val="0072254E"/>
    <w:rsid w:val="007340A7"/>
    <w:rsid w:val="007401CA"/>
    <w:rsid w:val="007579AF"/>
    <w:rsid w:val="00762536"/>
    <w:rsid w:val="00791221"/>
    <w:rsid w:val="00797E7F"/>
    <w:rsid w:val="007B0C48"/>
    <w:rsid w:val="007C1890"/>
    <w:rsid w:val="007C63DD"/>
    <w:rsid w:val="007D5063"/>
    <w:rsid w:val="008111BA"/>
    <w:rsid w:val="0083381A"/>
    <w:rsid w:val="00842EBB"/>
    <w:rsid w:val="00866BA0"/>
    <w:rsid w:val="0088592E"/>
    <w:rsid w:val="00894A57"/>
    <w:rsid w:val="00897FBE"/>
    <w:rsid w:val="008A4195"/>
    <w:rsid w:val="008A43B2"/>
    <w:rsid w:val="008C43A0"/>
    <w:rsid w:val="008C7882"/>
    <w:rsid w:val="008E13AA"/>
    <w:rsid w:val="008E4C4F"/>
    <w:rsid w:val="00915DCE"/>
    <w:rsid w:val="0092194B"/>
    <w:rsid w:val="00936F8F"/>
    <w:rsid w:val="009601A8"/>
    <w:rsid w:val="009624DD"/>
    <w:rsid w:val="0096629D"/>
    <w:rsid w:val="00966990"/>
    <w:rsid w:val="00986403"/>
    <w:rsid w:val="009A1599"/>
    <w:rsid w:val="009D43E6"/>
    <w:rsid w:val="00A422A0"/>
    <w:rsid w:val="00A44BD3"/>
    <w:rsid w:val="00A47A65"/>
    <w:rsid w:val="00A74F15"/>
    <w:rsid w:val="00A91965"/>
    <w:rsid w:val="00A9207B"/>
    <w:rsid w:val="00A97B22"/>
    <w:rsid w:val="00AC13A8"/>
    <w:rsid w:val="00AC79C4"/>
    <w:rsid w:val="00AE3238"/>
    <w:rsid w:val="00AF19A4"/>
    <w:rsid w:val="00AF65DF"/>
    <w:rsid w:val="00AF676C"/>
    <w:rsid w:val="00B01C7A"/>
    <w:rsid w:val="00B13EEC"/>
    <w:rsid w:val="00B1597E"/>
    <w:rsid w:val="00B22D59"/>
    <w:rsid w:val="00B4031E"/>
    <w:rsid w:val="00B56072"/>
    <w:rsid w:val="00B56964"/>
    <w:rsid w:val="00B57807"/>
    <w:rsid w:val="00B63831"/>
    <w:rsid w:val="00B65A0F"/>
    <w:rsid w:val="00B751DD"/>
    <w:rsid w:val="00B75693"/>
    <w:rsid w:val="00B7686E"/>
    <w:rsid w:val="00B86112"/>
    <w:rsid w:val="00B87B63"/>
    <w:rsid w:val="00B90D28"/>
    <w:rsid w:val="00BD02AF"/>
    <w:rsid w:val="00BD3B5C"/>
    <w:rsid w:val="00BD7465"/>
    <w:rsid w:val="00BE163D"/>
    <w:rsid w:val="00C2125E"/>
    <w:rsid w:val="00C3076F"/>
    <w:rsid w:val="00C308C1"/>
    <w:rsid w:val="00C571E4"/>
    <w:rsid w:val="00C75F7E"/>
    <w:rsid w:val="00C9044B"/>
    <w:rsid w:val="00CC1BD2"/>
    <w:rsid w:val="00CC3C62"/>
    <w:rsid w:val="00CC49FF"/>
    <w:rsid w:val="00CD0176"/>
    <w:rsid w:val="00CD377E"/>
    <w:rsid w:val="00CF6E19"/>
    <w:rsid w:val="00CF7B2D"/>
    <w:rsid w:val="00D120AC"/>
    <w:rsid w:val="00D14301"/>
    <w:rsid w:val="00D14E90"/>
    <w:rsid w:val="00D17D02"/>
    <w:rsid w:val="00D23000"/>
    <w:rsid w:val="00D3782B"/>
    <w:rsid w:val="00D51333"/>
    <w:rsid w:val="00D62659"/>
    <w:rsid w:val="00D63F90"/>
    <w:rsid w:val="00D900E5"/>
    <w:rsid w:val="00D95D73"/>
    <w:rsid w:val="00DB21C3"/>
    <w:rsid w:val="00DF58B0"/>
    <w:rsid w:val="00E0454A"/>
    <w:rsid w:val="00E479AA"/>
    <w:rsid w:val="00E63356"/>
    <w:rsid w:val="00E67565"/>
    <w:rsid w:val="00E713F3"/>
    <w:rsid w:val="00E741DE"/>
    <w:rsid w:val="00E75913"/>
    <w:rsid w:val="00E81919"/>
    <w:rsid w:val="00E87ADC"/>
    <w:rsid w:val="00E92204"/>
    <w:rsid w:val="00E95C00"/>
    <w:rsid w:val="00EE5976"/>
    <w:rsid w:val="00F00D1D"/>
    <w:rsid w:val="00F01999"/>
    <w:rsid w:val="00F110B3"/>
    <w:rsid w:val="00F22798"/>
    <w:rsid w:val="00F30054"/>
    <w:rsid w:val="00F577BD"/>
    <w:rsid w:val="00F57DD2"/>
    <w:rsid w:val="00F64477"/>
    <w:rsid w:val="00F75CD1"/>
    <w:rsid w:val="00FA74B8"/>
    <w:rsid w:val="00FB71E2"/>
    <w:rsid w:val="00FD35E1"/>
    <w:rsid w:val="00FE4EDF"/>
    <w:rsid w:val="00FF1139"/>
    <w:rsid w:val="00FF1AF9"/>
    <w:rsid w:val="00FF4FF5"/>
    <w:rsid w:val="00FF77AF"/>
    <w:rsid w:val="024370E7"/>
    <w:rsid w:val="10164865"/>
    <w:rsid w:val="1598D382"/>
    <w:rsid w:val="17732C95"/>
    <w:rsid w:val="226F69E6"/>
    <w:rsid w:val="23557DF0"/>
    <w:rsid w:val="27CCBD6D"/>
    <w:rsid w:val="29D6656D"/>
    <w:rsid w:val="2CB2AE26"/>
    <w:rsid w:val="350B57A3"/>
    <w:rsid w:val="378D3834"/>
    <w:rsid w:val="3FCB073F"/>
    <w:rsid w:val="4033FEB0"/>
    <w:rsid w:val="470C9E94"/>
    <w:rsid w:val="47856053"/>
    <w:rsid w:val="47E6E67B"/>
    <w:rsid w:val="4A0F417F"/>
    <w:rsid w:val="4F2CE186"/>
    <w:rsid w:val="51D665E6"/>
    <w:rsid w:val="52E1EA5D"/>
    <w:rsid w:val="61C2A9B7"/>
    <w:rsid w:val="62243CBC"/>
    <w:rsid w:val="65D5741E"/>
    <w:rsid w:val="78C48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BA31C"/>
  <w15:chartTrackingRefBased/>
  <w15:docId w15:val="{87848594-61BD-4D65-AC4B-5D920A6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E7F"/>
  </w:style>
  <w:style w:type="paragraph" w:styleId="Heading1">
    <w:name w:val="heading 1"/>
    <w:basedOn w:val="Normal"/>
    <w:next w:val="Normal"/>
    <w:link w:val="Heading1Char"/>
    <w:uiPriority w:val="9"/>
    <w:qFormat/>
    <w:rsid w:val="00A422A0"/>
    <w:pPr>
      <w:keepNext/>
      <w:keepLines/>
      <w:numPr>
        <w:numId w:val="4"/>
      </w:numPr>
      <w:spacing w:before="360" w:after="120" w:line="240" w:lineRule="auto"/>
      <w:outlineLvl w:val="0"/>
    </w:pPr>
    <w:rPr>
      <w:rFonts w:ascii="Arial" w:eastAsiaTheme="majorEastAsia" w:hAnsi="Arial" w:cstheme="majorBidi"/>
      <w:b/>
      <w:color w:val="355777" w:themeColor="text2"/>
      <w:sz w:val="28"/>
      <w:szCs w:val="32"/>
    </w:rPr>
  </w:style>
  <w:style w:type="paragraph" w:styleId="Heading2">
    <w:name w:val="heading 2"/>
    <w:basedOn w:val="Normal"/>
    <w:next w:val="Normal"/>
    <w:link w:val="Heading2Char"/>
    <w:uiPriority w:val="9"/>
    <w:unhideWhenUsed/>
    <w:qFormat/>
    <w:rsid w:val="00797E7F"/>
    <w:pPr>
      <w:keepNext/>
      <w:keepLines/>
      <w:numPr>
        <w:ilvl w:val="1"/>
        <w:numId w:val="4"/>
      </w:numPr>
      <w:spacing w:before="240" w:after="120" w:line="240" w:lineRule="auto"/>
      <w:outlineLvl w:val="1"/>
    </w:pPr>
    <w:rPr>
      <w:rFonts w:ascii="Arial" w:eastAsiaTheme="majorEastAsia" w:hAnsi="Arial" w:cstheme="majorBidi"/>
      <w:b/>
      <w:color w:val="355777" w:themeColor="text2"/>
      <w:sz w:val="24"/>
      <w:szCs w:val="26"/>
    </w:rPr>
  </w:style>
  <w:style w:type="paragraph" w:styleId="Heading3">
    <w:name w:val="heading 3"/>
    <w:basedOn w:val="Normal"/>
    <w:next w:val="Normal"/>
    <w:link w:val="Heading3Char"/>
    <w:uiPriority w:val="9"/>
    <w:unhideWhenUsed/>
    <w:qFormat/>
    <w:rsid w:val="00797E7F"/>
    <w:pPr>
      <w:keepNext/>
      <w:keepLines/>
      <w:numPr>
        <w:ilvl w:val="2"/>
        <w:numId w:val="4"/>
      </w:numPr>
      <w:spacing w:before="120" w:after="120" w:line="240" w:lineRule="auto"/>
      <w:outlineLvl w:val="2"/>
    </w:pPr>
    <w:rPr>
      <w:rFonts w:ascii="Arial" w:eastAsiaTheme="majorEastAsia" w:hAnsi="Arial" w:cstheme="majorBidi"/>
      <w:color w:val="003A5E" w:themeColor="accent1" w:themeShade="7F"/>
      <w:sz w:val="24"/>
      <w:szCs w:val="24"/>
    </w:rPr>
  </w:style>
  <w:style w:type="paragraph" w:styleId="Heading4">
    <w:name w:val="heading 4"/>
    <w:basedOn w:val="Normal"/>
    <w:next w:val="Normal"/>
    <w:link w:val="Heading4Char"/>
    <w:uiPriority w:val="9"/>
    <w:semiHidden/>
    <w:unhideWhenUsed/>
    <w:qFormat/>
    <w:rsid w:val="00AE3238"/>
    <w:pPr>
      <w:keepNext/>
      <w:keepLines/>
      <w:numPr>
        <w:ilvl w:val="3"/>
        <w:numId w:val="4"/>
      </w:numPr>
      <w:spacing w:before="40" w:after="0"/>
      <w:outlineLvl w:val="3"/>
    </w:pPr>
    <w:rPr>
      <w:rFonts w:asciiTheme="majorHAnsi" w:eastAsiaTheme="majorEastAsia" w:hAnsiTheme="majorHAnsi" w:cstheme="majorBidi"/>
      <w:i/>
      <w:iCs/>
      <w:color w:val="00588D" w:themeColor="accent1" w:themeShade="BF"/>
    </w:rPr>
  </w:style>
  <w:style w:type="paragraph" w:styleId="Heading5">
    <w:name w:val="heading 5"/>
    <w:basedOn w:val="Normal"/>
    <w:next w:val="Normal"/>
    <w:link w:val="Heading5Char"/>
    <w:uiPriority w:val="9"/>
    <w:semiHidden/>
    <w:unhideWhenUsed/>
    <w:qFormat/>
    <w:rsid w:val="00AE3238"/>
    <w:pPr>
      <w:keepNext/>
      <w:keepLines/>
      <w:numPr>
        <w:ilvl w:val="4"/>
        <w:numId w:val="4"/>
      </w:numPr>
      <w:spacing w:before="40" w:after="0"/>
      <w:outlineLvl w:val="4"/>
    </w:pPr>
    <w:rPr>
      <w:rFonts w:asciiTheme="majorHAnsi" w:eastAsiaTheme="majorEastAsia" w:hAnsiTheme="majorHAnsi" w:cstheme="majorBidi"/>
      <w:color w:val="00588D" w:themeColor="accent1" w:themeShade="BF"/>
    </w:rPr>
  </w:style>
  <w:style w:type="paragraph" w:styleId="Heading6">
    <w:name w:val="heading 6"/>
    <w:basedOn w:val="Normal"/>
    <w:next w:val="Normal"/>
    <w:link w:val="Heading6Char"/>
    <w:uiPriority w:val="9"/>
    <w:semiHidden/>
    <w:unhideWhenUsed/>
    <w:qFormat/>
    <w:rsid w:val="00AE3238"/>
    <w:pPr>
      <w:keepNext/>
      <w:keepLines/>
      <w:numPr>
        <w:ilvl w:val="5"/>
        <w:numId w:val="4"/>
      </w:numPr>
      <w:spacing w:before="40" w:after="0"/>
      <w:outlineLvl w:val="5"/>
    </w:pPr>
    <w:rPr>
      <w:rFonts w:asciiTheme="majorHAnsi" w:eastAsiaTheme="majorEastAsia" w:hAnsiTheme="majorHAnsi" w:cstheme="majorBidi"/>
      <w:color w:val="003A5E" w:themeColor="accent1" w:themeShade="7F"/>
    </w:rPr>
  </w:style>
  <w:style w:type="paragraph" w:styleId="Heading7">
    <w:name w:val="heading 7"/>
    <w:basedOn w:val="Normal"/>
    <w:next w:val="Normal"/>
    <w:link w:val="Heading7Char"/>
    <w:uiPriority w:val="9"/>
    <w:semiHidden/>
    <w:unhideWhenUsed/>
    <w:qFormat/>
    <w:rsid w:val="00AE3238"/>
    <w:pPr>
      <w:keepNext/>
      <w:keepLines/>
      <w:numPr>
        <w:ilvl w:val="6"/>
        <w:numId w:val="4"/>
      </w:numPr>
      <w:spacing w:before="40" w:after="0"/>
      <w:outlineLvl w:val="6"/>
    </w:pPr>
    <w:rPr>
      <w:rFonts w:asciiTheme="majorHAnsi" w:eastAsiaTheme="majorEastAsia" w:hAnsiTheme="majorHAnsi" w:cstheme="majorBidi"/>
      <w:i/>
      <w:iCs/>
      <w:color w:val="003A5E" w:themeColor="accent1" w:themeShade="7F"/>
    </w:rPr>
  </w:style>
  <w:style w:type="paragraph" w:styleId="Heading8">
    <w:name w:val="heading 8"/>
    <w:basedOn w:val="Normal"/>
    <w:next w:val="Normal"/>
    <w:link w:val="Heading8Char"/>
    <w:uiPriority w:val="9"/>
    <w:semiHidden/>
    <w:unhideWhenUsed/>
    <w:qFormat/>
    <w:rsid w:val="00AE323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323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4E"/>
    <w:pPr>
      <w:tabs>
        <w:tab w:val="center" w:pos="4680"/>
        <w:tab w:val="right" w:pos="9360"/>
      </w:tabs>
      <w:spacing w:before="400" w:after="240" w:line="240" w:lineRule="auto"/>
    </w:pPr>
    <w:rPr>
      <w:rFonts w:ascii="Arial" w:hAnsi="Arial"/>
      <w:color w:val="355777" w:themeColor="text2"/>
      <w:sz w:val="72"/>
    </w:rPr>
  </w:style>
  <w:style w:type="character" w:customStyle="1" w:styleId="HeaderChar">
    <w:name w:val="Header Char"/>
    <w:basedOn w:val="DefaultParagraphFont"/>
    <w:link w:val="Header"/>
    <w:uiPriority w:val="99"/>
    <w:rsid w:val="0072254E"/>
    <w:rPr>
      <w:rFonts w:ascii="Arial" w:hAnsi="Arial"/>
      <w:color w:val="355777" w:themeColor="text2"/>
      <w:sz w:val="72"/>
    </w:rPr>
  </w:style>
  <w:style w:type="paragraph" w:styleId="Footer">
    <w:name w:val="footer"/>
    <w:basedOn w:val="Normal"/>
    <w:link w:val="FooterChar"/>
    <w:uiPriority w:val="99"/>
    <w:unhideWhenUsed/>
    <w:rsid w:val="00C308C1"/>
    <w:pPr>
      <w:tabs>
        <w:tab w:val="center" w:pos="4680"/>
        <w:tab w:val="right" w:pos="9360"/>
      </w:tabs>
      <w:spacing w:before="120" w:after="120" w:line="240" w:lineRule="auto"/>
      <w:contextualSpacing/>
      <w:jc w:val="center"/>
    </w:pPr>
    <w:rPr>
      <w:rFonts w:ascii="Arial" w:hAnsi="Arial"/>
      <w:i/>
      <w:sz w:val="18"/>
    </w:rPr>
  </w:style>
  <w:style w:type="character" w:customStyle="1" w:styleId="FooterChar">
    <w:name w:val="Footer Char"/>
    <w:basedOn w:val="DefaultParagraphFont"/>
    <w:link w:val="Footer"/>
    <w:uiPriority w:val="99"/>
    <w:rsid w:val="00C308C1"/>
    <w:rPr>
      <w:rFonts w:ascii="Arial" w:hAnsi="Arial"/>
      <w:i/>
      <w:sz w:val="18"/>
    </w:rPr>
  </w:style>
  <w:style w:type="character" w:customStyle="1" w:styleId="Heading1Char">
    <w:name w:val="Heading 1 Char"/>
    <w:basedOn w:val="DefaultParagraphFont"/>
    <w:link w:val="Heading1"/>
    <w:uiPriority w:val="9"/>
    <w:rsid w:val="00A422A0"/>
    <w:rPr>
      <w:rFonts w:ascii="Arial" w:eastAsiaTheme="majorEastAsia" w:hAnsi="Arial" w:cstheme="majorBidi"/>
      <w:b/>
      <w:color w:val="355777" w:themeColor="text2"/>
      <w:sz w:val="28"/>
      <w:szCs w:val="32"/>
    </w:rPr>
  </w:style>
  <w:style w:type="character" w:customStyle="1" w:styleId="Heading2Char">
    <w:name w:val="Heading 2 Char"/>
    <w:basedOn w:val="DefaultParagraphFont"/>
    <w:link w:val="Heading2"/>
    <w:uiPriority w:val="9"/>
    <w:rsid w:val="00797E7F"/>
    <w:rPr>
      <w:rFonts w:ascii="Arial" w:eastAsiaTheme="majorEastAsia" w:hAnsi="Arial" w:cstheme="majorBidi"/>
      <w:b/>
      <w:color w:val="355777" w:themeColor="text2"/>
      <w:sz w:val="24"/>
      <w:szCs w:val="26"/>
    </w:rPr>
  </w:style>
  <w:style w:type="character" w:customStyle="1" w:styleId="Heading3Char">
    <w:name w:val="Heading 3 Char"/>
    <w:basedOn w:val="DefaultParagraphFont"/>
    <w:link w:val="Heading3"/>
    <w:uiPriority w:val="9"/>
    <w:rsid w:val="00797E7F"/>
    <w:rPr>
      <w:rFonts w:ascii="Arial" w:eastAsiaTheme="majorEastAsia" w:hAnsi="Arial" w:cstheme="majorBidi"/>
      <w:color w:val="003A5E" w:themeColor="accent1" w:themeShade="7F"/>
      <w:sz w:val="24"/>
      <w:szCs w:val="24"/>
    </w:rPr>
  </w:style>
  <w:style w:type="character" w:customStyle="1" w:styleId="Heading4Char">
    <w:name w:val="Heading 4 Char"/>
    <w:basedOn w:val="DefaultParagraphFont"/>
    <w:link w:val="Heading4"/>
    <w:uiPriority w:val="9"/>
    <w:semiHidden/>
    <w:rsid w:val="00AE3238"/>
    <w:rPr>
      <w:rFonts w:asciiTheme="majorHAnsi" w:eastAsiaTheme="majorEastAsia" w:hAnsiTheme="majorHAnsi" w:cstheme="majorBidi"/>
      <w:i/>
      <w:iCs/>
      <w:color w:val="00588D" w:themeColor="accent1" w:themeShade="BF"/>
    </w:rPr>
  </w:style>
  <w:style w:type="character" w:customStyle="1" w:styleId="Heading5Char">
    <w:name w:val="Heading 5 Char"/>
    <w:basedOn w:val="DefaultParagraphFont"/>
    <w:link w:val="Heading5"/>
    <w:uiPriority w:val="9"/>
    <w:semiHidden/>
    <w:rsid w:val="00AE3238"/>
    <w:rPr>
      <w:rFonts w:asciiTheme="majorHAnsi" w:eastAsiaTheme="majorEastAsia" w:hAnsiTheme="majorHAnsi" w:cstheme="majorBidi"/>
      <w:color w:val="00588D" w:themeColor="accent1" w:themeShade="BF"/>
    </w:rPr>
  </w:style>
  <w:style w:type="character" w:customStyle="1" w:styleId="Heading6Char">
    <w:name w:val="Heading 6 Char"/>
    <w:basedOn w:val="DefaultParagraphFont"/>
    <w:link w:val="Heading6"/>
    <w:uiPriority w:val="9"/>
    <w:semiHidden/>
    <w:rsid w:val="00AE3238"/>
    <w:rPr>
      <w:rFonts w:asciiTheme="majorHAnsi" w:eastAsiaTheme="majorEastAsia" w:hAnsiTheme="majorHAnsi" w:cstheme="majorBidi"/>
      <w:color w:val="003A5E" w:themeColor="accent1" w:themeShade="7F"/>
    </w:rPr>
  </w:style>
  <w:style w:type="character" w:customStyle="1" w:styleId="Heading7Char">
    <w:name w:val="Heading 7 Char"/>
    <w:basedOn w:val="DefaultParagraphFont"/>
    <w:link w:val="Heading7"/>
    <w:uiPriority w:val="9"/>
    <w:semiHidden/>
    <w:rsid w:val="00AE3238"/>
    <w:rPr>
      <w:rFonts w:asciiTheme="majorHAnsi" w:eastAsiaTheme="majorEastAsia" w:hAnsiTheme="majorHAnsi" w:cstheme="majorBidi"/>
      <w:i/>
      <w:iCs/>
      <w:color w:val="003A5E" w:themeColor="accent1" w:themeShade="7F"/>
    </w:rPr>
  </w:style>
  <w:style w:type="character" w:customStyle="1" w:styleId="Heading8Char">
    <w:name w:val="Heading 8 Char"/>
    <w:basedOn w:val="DefaultParagraphFont"/>
    <w:link w:val="Heading8"/>
    <w:uiPriority w:val="9"/>
    <w:semiHidden/>
    <w:rsid w:val="00AE32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3238"/>
    <w:rPr>
      <w:rFonts w:asciiTheme="majorHAnsi" w:eastAsiaTheme="majorEastAsia" w:hAnsiTheme="majorHAnsi" w:cstheme="majorBidi"/>
      <w:i/>
      <w:iCs/>
      <w:color w:val="272727" w:themeColor="text1" w:themeTint="D8"/>
      <w:sz w:val="21"/>
      <w:szCs w:val="21"/>
    </w:rPr>
  </w:style>
  <w:style w:type="paragraph" w:customStyle="1" w:styleId="StepText">
    <w:name w:val="Step Text"/>
    <w:basedOn w:val="BodyText"/>
    <w:qFormat/>
    <w:rsid w:val="00797E7F"/>
    <w:pPr>
      <w:spacing w:line="240" w:lineRule="auto"/>
    </w:pPr>
    <w:rPr>
      <w:b/>
      <w:color w:val="0076BD" w:themeColor="accent1"/>
    </w:rPr>
  </w:style>
  <w:style w:type="paragraph" w:styleId="BodyText">
    <w:name w:val="Body Text"/>
    <w:basedOn w:val="Normal"/>
    <w:link w:val="BodyTextChar"/>
    <w:uiPriority w:val="99"/>
    <w:unhideWhenUsed/>
    <w:rsid w:val="00AE3238"/>
    <w:pPr>
      <w:spacing w:before="120" w:after="120"/>
    </w:pPr>
    <w:rPr>
      <w:rFonts w:ascii="Arial" w:hAnsi="Arial"/>
    </w:rPr>
  </w:style>
  <w:style w:type="character" w:customStyle="1" w:styleId="BodyTextChar">
    <w:name w:val="Body Text Char"/>
    <w:basedOn w:val="DefaultParagraphFont"/>
    <w:link w:val="BodyText"/>
    <w:uiPriority w:val="99"/>
    <w:rsid w:val="00AE3238"/>
    <w:rPr>
      <w:rFonts w:ascii="Arial" w:hAnsi="Arial"/>
    </w:rPr>
  </w:style>
  <w:style w:type="paragraph" w:styleId="Caption">
    <w:name w:val="caption"/>
    <w:basedOn w:val="Normal"/>
    <w:next w:val="Normal"/>
    <w:uiPriority w:val="35"/>
    <w:unhideWhenUsed/>
    <w:qFormat/>
    <w:rsid w:val="00AE3238"/>
    <w:pPr>
      <w:keepNext/>
      <w:spacing w:before="240" w:after="0" w:line="240" w:lineRule="auto"/>
      <w:jc w:val="center"/>
    </w:pPr>
    <w:rPr>
      <w:rFonts w:ascii="Arial" w:hAnsi="Arial"/>
      <w:b/>
      <w:i/>
      <w:iCs/>
      <w:color w:val="355777" w:themeColor="text2"/>
      <w:sz w:val="20"/>
      <w:szCs w:val="18"/>
    </w:rPr>
  </w:style>
  <w:style w:type="table" w:styleId="TableGrid">
    <w:name w:val="Table Grid"/>
    <w:basedOn w:val="TableNormal"/>
    <w:uiPriority w:val="39"/>
    <w:rsid w:val="0056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603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BD" w:themeFill="accent1"/>
      </w:tcPr>
    </w:tblStylePr>
    <w:tblStylePr w:type="band1Vert">
      <w:tblPr/>
      <w:tcPr>
        <w:shd w:val="clear" w:color="auto" w:fill="7ECEFF" w:themeFill="accent1" w:themeFillTint="66"/>
      </w:tcPr>
    </w:tblStylePr>
    <w:tblStylePr w:type="band1Horz">
      <w:tblPr/>
      <w:tcPr>
        <w:shd w:val="clear" w:color="auto" w:fill="7ECEFF" w:themeFill="accent1" w:themeFillTint="66"/>
      </w:tcPr>
    </w:tblStylePr>
  </w:style>
  <w:style w:type="paragraph" w:customStyle="1" w:styleId="TableHeader">
    <w:name w:val="Table Header"/>
    <w:basedOn w:val="BodyText"/>
    <w:qFormat/>
    <w:rsid w:val="0072254E"/>
    <w:pPr>
      <w:spacing w:before="0" w:after="0" w:line="240" w:lineRule="auto"/>
      <w:jc w:val="center"/>
    </w:pPr>
    <w:rPr>
      <w:b/>
      <w:bCs/>
      <w:color w:val="FFFFFF" w:themeColor="background1"/>
      <w:sz w:val="20"/>
    </w:rPr>
  </w:style>
  <w:style w:type="paragraph" w:customStyle="1" w:styleId="TableText">
    <w:name w:val="Table Text"/>
    <w:basedOn w:val="BodyText"/>
    <w:qFormat/>
    <w:rsid w:val="0072254E"/>
    <w:pPr>
      <w:spacing w:before="0" w:after="0" w:line="240" w:lineRule="auto"/>
    </w:pPr>
    <w:rPr>
      <w:bCs/>
      <w:sz w:val="20"/>
    </w:rPr>
  </w:style>
  <w:style w:type="paragraph" w:customStyle="1" w:styleId="TableBullet1">
    <w:name w:val="Table Bullet 1"/>
    <w:basedOn w:val="Normal"/>
    <w:qFormat/>
    <w:rsid w:val="00936F8F"/>
    <w:pPr>
      <w:numPr>
        <w:numId w:val="16"/>
      </w:numPr>
      <w:spacing w:after="0" w:line="240" w:lineRule="auto"/>
      <w:ind w:left="432" w:hanging="288"/>
    </w:pPr>
    <w:rPr>
      <w:rFonts w:ascii="Arial" w:hAnsi="Arial"/>
      <w:sz w:val="20"/>
    </w:rPr>
  </w:style>
  <w:style w:type="paragraph" w:customStyle="1" w:styleId="TableBullet2">
    <w:name w:val="Table Bullet 2"/>
    <w:basedOn w:val="TableBullet1"/>
    <w:qFormat/>
    <w:rsid w:val="0072254E"/>
    <w:pPr>
      <w:numPr>
        <w:numId w:val="17"/>
      </w:numPr>
      <w:ind w:left="576" w:hanging="288"/>
    </w:pPr>
  </w:style>
  <w:style w:type="paragraph" w:customStyle="1" w:styleId="SectionHeading">
    <w:name w:val="Section Heading"/>
    <w:basedOn w:val="Normal"/>
    <w:qFormat/>
    <w:rsid w:val="00797E7F"/>
    <w:pPr>
      <w:keepNext/>
      <w:pBdr>
        <w:bottom w:val="single" w:sz="8" w:space="1" w:color="0076BD" w:themeColor="accent1"/>
      </w:pBdr>
      <w:spacing w:before="240" w:after="120" w:line="240" w:lineRule="auto"/>
    </w:pPr>
    <w:rPr>
      <w:rFonts w:ascii="Arial" w:hAnsi="Arial"/>
      <w:caps/>
      <w:color w:val="355777" w:themeColor="text2"/>
      <w:sz w:val="32"/>
    </w:rPr>
  </w:style>
  <w:style w:type="paragraph" w:styleId="TOC1">
    <w:name w:val="toc 1"/>
    <w:basedOn w:val="Normal"/>
    <w:next w:val="Normal"/>
    <w:autoRedefine/>
    <w:uiPriority w:val="39"/>
    <w:unhideWhenUsed/>
    <w:rsid w:val="00CC1BD2"/>
    <w:pPr>
      <w:tabs>
        <w:tab w:val="left" w:pos="360"/>
        <w:tab w:val="right" w:leader="dot" w:pos="10786"/>
      </w:tabs>
      <w:spacing w:before="120" w:after="120" w:line="240" w:lineRule="auto"/>
    </w:pPr>
    <w:rPr>
      <w:rFonts w:ascii="Arial" w:hAnsi="Arial"/>
    </w:rPr>
  </w:style>
  <w:style w:type="paragraph" w:styleId="TOCHeading">
    <w:name w:val="TOC Heading"/>
    <w:basedOn w:val="Heading1"/>
    <w:next w:val="Normal"/>
    <w:uiPriority w:val="39"/>
    <w:unhideWhenUsed/>
    <w:qFormat/>
    <w:rsid w:val="002A2CCA"/>
    <w:pPr>
      <w:numPr>
        <w:numId w:val="0"/>
      </w:numPr>
      <w:spacing w:after="240"/>
      <w:outlineLvl w:val="9"/>
    </w:pPr>
    <w:rPr>
      <w:b w:val="0"/>
    </w:rPr>
  </w:style>
  <w:style w:type="paragraph" w:styleId="TOC2">
    <w:name w:val="toc 2"/>
    <w:basedOn w:val="Normal"/>
    <w:next w:val="Normal"/>
    <w:autoRedefine/>
    <w:uiPriority w:val="39"/>
    <w:unhideWhenUsed/>
    <w:rsid w:val="002A2CCA"/>
    <w:pPr>
      <w:tabs>
        <w:tab w:val="left" w:pos="880"/>
        <w:tab w:val="right" w:leader="dot" w:pos="10790"/>
      </w:tabs>
      <w:spacing w:after="100"/>
      <w:ind w:left="220"/>
    </w:pPr>
    <w:rPr>
      <w:rFonts w:ascii="Arial" w:hAnsi="Arial"/>
      <w:noProof/>
    </w:rPr>
  </w:style>
  <w:style w:type="character" w:styleId="Hyperlink">
    <w:name w:val="Hyperlink"/>
    <w:basedOn w:val="DefaultParagraphFont"/>
    <w:uiPriority w:val="99"/>
    <w:unhideWhenUsed/>
    <w:rsid w:val="002A2CCA"/>
    <w:rPr>
      <w:color w:val="0563C1" w:themeColor="hyperlink"/>
      <w:u w:val="single"/>
    </w:rPr>
  </w:style>
  <w:style w:type="paragraph" w:customStyle="1" w:styleId="Bullet1">
    <w:name w:val="Bullet 1"/>
    <w:basedOn w:val="Normal"/>
    <w:qFormat/>
    <w:rsid w:val="007B0C48"/>
    <w:pPr>
      <w:numPr>
        <w:numId w:val="18"/>
      </w:numPr>
      <w:spacing w:before="120" w:after="120" w:line="240" w:lineRule="auto"/>
    </w:pPr>
    <w:rPr>
      <w:rFonts w:ascii="Arial" w:hAnsi="Arial"/>
    </w:rPr>
  </w:style>
  <w:style w:type="paragraph" w:customStyle="1" w:styleId="Bullet2">
    <w:name w:val="Bullet 2"/>
    <w:basedOn w:val="Bullet1"/>
    <w:qFormat/>
    <w:rsid w:val="007B0C48"/>
    <w:pPr>
      <w:numPr>
        <w:numId w:val="19"/>
      </w:numPr>
      <w:contextualSpacing/>
    </w:pPr>
  </w:style>
  <w:style w:type="paragraph" w:customStyle="1" w:styleId="NumberedList">
    <w:name w:val="Numbered List"/>
    <w:basedOn w:val="Normal"/>
    <w:qFormat/>
    <w:rsid w:val="00557F46"/>
    <w:pPr>
      <w:numPr>
        <w:numId w:val="20"/>
      </w:numPr>
      <w:spacing w:before="120" w:after="120" w:line="240" w:lineRule="auto"/>
    </w:pPr>
    <w:rPr>
      <w:rFonts w:ascii="Arial" w:hAnsi="Arial"/>
    </w:rPr>
  </w:style>
  <w:style w:type="paragraph" w:customStyle="1" w:styleId="NoteCalloutText">
    <w:name w:val="Note Callout Text"/>
    <w:basedOn w:val="BodyText"/>
    <w:qFormat/>
    <w:rsid w:val="00E81919"/>
    <w:pPr>
      <w:pBdr>
        <w:top w:val="single" w:sz="12" w:space="5" w:color="0076BD" w:themeColor="accent1"/>
        <w:left w:val="single" w:sz="12" w:space="2" w:color="0076BD" w:themeColor="accent1"/>
        <w:bottom w:val="single" w:sz="12" w:space="5" w:color="0076BD" w:themeColor="accent1"/>
        <w:right w:val="single" w:sz="12" w:space="2" w:color="0076BD" w:themeColor="accent1"/>
      </w:pBdr>
      <w:spacing w:before="240" w:after="240" w:line="240" w:lineRule="auto"/>
    </w:pPr>
    <w:rPr>
      <w:color w:val="355777" w:themeColor="text2"/>
    </w:rPr>
  </w:style>
  <w:style w:type="paragraph" w:customStyle="1" w:styleId="Subheading">
    <w:name w:val="Subheading"/>
    <w:basedOn w:val="Normal"/>
    <w:qFormat/>
    <w:rsid w:val="00184442"/>
    <w:pPr>
      <w:keepNext/>
      <w:spacing w:before="240" w:after="0" w:line="240" w:lineRule="auto"/>
    </w:pPr>
    <w:rPr>
      <w:rFonts w:ascii="Arial" w:hAnsi="Arial"/>
      <w:b/>
      <w:color w:val="0076BD" w:themeColor="accent1"/>
      <w:sz w:val="24"/>
    </w:rPr>
  </w:style>
  <w:style w:type="paragraph" w:styleId="ListParagraph">
    <w:name w:val="List Paragraph"/>
    <w:basedOn w:val="Normal"/>
    <w:uiPriority w:val="34"/>
    <w:qFormat/>
    <w:rsid w:val="00FF113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C4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FF"/>
    <w:rPr>
      <w:rFonts w:ascii="Segoe UI" w:hAnsi="Segoe UI" w:cs="Segoe UI"/>
      <w:sz w:val="18"/>
      <w:szCs w:val="18"/>
    </w:rPr>
  </w:style>
  <w:style w:type="character" w:styleId="CommentReference">
    <w:name w:val="annotation reference"/>
    <w:basedOn w:val="DefaultParagraphFont"/>
    <w:uiPriority w:val="99"/>
    <w:semiHidden/>
    <w:unhideWhenUsed/>
    <w:rsid w:val="00FF4FF5"/>
    <w:rPr>
      <w:sz w:val="16"/>
      <w:szCs w:val="16"/>
    </w:rPr>
  </w:style>
  <w:style w:type="paragraph" w:styleId="CommentText">
    <w:name w:val="annotation text"/>
    <w:basedOn w:val="Normal"/>
    <w:link w:val="CommentTextChar"/>
    <w:uiPriority w:val="99"/>
    <w:semiHidden/>
    <w:unhideWhenUsed/>
    <w:rsid w:val="00FF4FF5"/>
    <w:pPr>
      <w:spacing w:line="240" w:lineRule="auto"/>
    </w:pPr>
    <w:rPr>
      <w:sz w:val="20"/>
      <w:szCs w:val="20"/>
    </w:rPr>
  </w:style>
  <w:style w:type="character" w:customStyle="1" w:styleId="CommentTextChar">
    <w:name w:val="Comment Text Char"/>
    <w:basedOn w:val="DefaultParagraphFont"/>
    <w:link w:val="CommentText"/>
    <w:uiPriority w:val="99"/>
    <w:semiHidden/>
    <w:rsid w:val="00FF4FF5"/>
    <w:rPr>
      <w:sz w:val="20"/>
      <w:szCs w:val="20"/>
    </w:rPr>
  </w:style>
  <w:style w:type="paragraph" w:styleId="CommentSubject">
    <w:name w:val="annotation subject"/>
    <w:basedOn w:val="CommentText"/>
    <w:next w:val="CommentText"/>
    <w:link w:val="CommentSubjectChar"/>
    <w:uiPriority w:val="99"/>
    <w:semiHidden/>
    <w:unhideWhenUsed/>
    <w:rsid w:val="00FF4FF5"/>
    <w:rPr>
      <w:b/>
      <w:bCs/>
    </w:rPr>
  </w:style>
  <w:style w:type="character" w:customStyle="1" w:styleId="CommentSubjectChar">
    <w:name w:val="Comment Subject Char"/>
    <w:basedOn w:val="CommentTextChar"/>
    <w:link w:val="CommentSubject"/>
    <w:uiPriority w:val="99"/>
    <w:semiHidden/>
    <w:rsid w:val="00FF4FF5"/>
    <w:rPr>
      <w:b/>
      <w:bCs/>
      <w:sz w:val="20"/>
      <w:szCs w:val="20"/>
    </w:rPr>
  </w:style>
  <w:style w:type="paragraph" w:styleId="Revision">
    <w:name w:val="Revision"/>
    <w:hidden/>
    <w:uiPriority w:val="99"/>
    <w:semiHidden/>
    <w:rsid w:val="00FF4FF5"/>
    <w:pPr>
      <w:spacing w:after="0" w:line="240" w:lineRule="auto"/>
    </w:pPr>
  </w:style>
  <w:style w:type="paragraph" w:customStyle="1" w:styleId="3vff3xh4yd">
    <w:name w:val="_3vff3xh4yd"/>
    <w:basedOn w:val="Normal"/>
    <w:rsid w:val="001541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A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7859">
      <w:bodyDiv w:val="1"/>
      <w:marLeft w:val="0"/>
      <w:marRight w:val="0"/>
      <w:marTop w:val="0"/>
      <w:marBottom w:val="0"/>
      <w:divBdr>
        <w:top w:val="none" w:sz="0" w:space="0" w:color="auto"/>
        <w:left w:val="none" w:sz="0" w:space="0" w:color="auto"/>
        <w:bottom w:val="none" w:sz="0" w:space="0" w:color="auto"/>
        <w:right w:val="none" w:sz="0" w:space="0" w:color="auto"/>
      </w:divBdr>
    </w:div>
    <w:div w:id="1713723754">
      <w:bodyDiv w:val="1"/>
      <w:marLeft w:val="0"/>
      <w:marRight w:val="0"/>
      <w:marTop w:val="0"/>
      <w:marBottom w:val="0"/>
      <w:divBdr>
        <w:top w:val="none" w:sz="0" w:space="0" w:color="auto"/>
        <w:left w:val="none" w:sz="0" w:space="0" w:color="auto"/>
        <w:bottom w:val="none" w:sz="0" w:space="0" w:color="auto"/>
        <w:right w:val="none" w:sz="0" w:space="0" w:color="auto"/>
      </w:divBdr>
    </w:div>
    <w:div w:id="1718504813">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dp.zendesk.com/h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55777"/>
      </a:dk2>
      <a:lt2>
        <a:srgbClr val="D6DCE4"/>
      </a:lt2>
      <a:accent1>
        <a:srgbClr val="0076BD"/>
      </a:accent1>
      <a:accent2>
        <a:srgbClr val="5D7EBC"/>
      </a:accent2>
      <a:accent3>
        <a:srgbClr val="61868D"/>
      </a:accent3>
      <a:accent4>
        <a:srgbClr val="4C904B"/>
      </a:accent4>
      <a:accent5>
        <a:srgbClr val="3B8A80"/>
      </a:accent5>
      <a:accent6>
        <a:srgbClr val="8A9A3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6523-90B7-421A-BC6E-2BB02EF1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S. McManus</dc:creator>
  <cp:keywords/>
  <dc:description/>
  <cp:lastModifiedBy>Tina Chen </cp:lastModifiedBy>
  <cp:revision>2</cp:revision>
  <cp:lastPrinted>2019-04-22T20:42:00Z</cp:lastPrinted>
  <dcterms:created xsi:type="dcterms:W3CDTF">2019-04-25T13:52:00Z</dcterms:created>
  <dcterms:modified xsi:type="dcterms:W3CDTF">2019-04-25T13:52:00Z</dcterms:modified>
</cp:coreProperties>
</file>